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A40C3F" w14:textId="77777777" w:rsidR="00570A9E" w:rsidRDefault="00570A9E">
      <w:pPr>
        <w:ind w:left="142"/>
        <w:rPr>
          <w:rFonts w:ascii="Dutch766 BT" w:hAnsi="Dutch766 BT"/>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522"/>
      </w:tblGrid>
      <w:tr w:rsidR="00570A9E" w14:paraId="202AB97C" w14:textId="77777777">
        <w:tblPrEx>
          <w:tblCellMar>
            <w:top w:w="0" w:type="dxa"/>
            <w:bottom w:w="0" w:type="dxa"/>
          </w:tblCellMar>
        </w:tblPrEx>
        <w:tc>
          <w:tcPr>
            <w:tcW w:w="9708" w:type="dxa"/>
            <w:tcBorders>
              <w:top w:val="double" w:sz="6" w:space="0" w:color="auto"/>
              <w:left w:val="double" w:sz="6" w:space="0" w:color="auto"/>
              <w:bottom w:val="double" w:sz="6" w:space="0" w:color="auto"/>
              <w:right w:val="double" w:sz="6" w:space="0" w:color="auto"/>
            </w:tcBorders>
          </w:tcPr>
          <w:p w14:paraId="113DEFCA" w14:textId="77777777" w:rsidR="00570A9E" w:rsidRDefault="00570A9E">
            <w:pPr>
              <w:pStyle w:val="Rientrocorpodeltesto"/>
              <w:rPr>
                <w:rFonts w:ascii="Times New Roman" w:hAnsi="Times New Roman"/>
              </w:rPr>
            </w:pPr>
          </w:p>
          <w:p w14:paraId="1024CB43" w14:textId="77777777" w:rsidR="00570A9E" w:rsidRDefault="00570A9E">
            <w:pPr>
              <w:pStyle w:val="Rientrocorpodeltesto"/>
              <w:rPr>
                <w:rFonts w:ascii="Times New Roman" w:hAnsi="Times New Roman"/>
                <w:sz w:val="32"/>
              </w:rPr>
            </w:pPr>
            <w:r>
              <w:rPr>
                <w:rFonts w:ascii="Times New Roman" w:hAnsi="Times New Roman"/>
                <w:sz w:val="32"/>
              </w:rPr>
              <w:t xml:space="preserve">Lavorazione tipo: </w:t>
            </w:r>
            <w:r>
              <w:rPr>
                <w:rFonts w:ascii="Times New Roman" w:hAnsi="Times New Roman"/>
                <w:b/>
                <w:bCs/>
                <w:sz w:val="32"/>
              </w:rPr>
              <w:t>PAVIMENTI INTERNI</w:t>
            </w:r>
          </w:p>
          <w:p w14:paraId="6E9689A0" w14:textId="77777777" w:rsidR="00570A9E" w:rsidRDefault="00570A9E"/>
        </w:tc>
      </w:tr>
    </w:tbl>
    <w:p w14:paraId="221A955A" w14:textId="77777777" w:rsidR="00570A9E" w:rsidRDefault="00570A9E"/>
    <w:p w14:paraId="70E06639" w14:textId="77777777" w:rsidR="00570A9E" w:rsidRDefault="00570A9E">
      <w:pPr>
        <w:jc w:val="center"/>
      </w:pPr>
    </w:p>
    <w:p w14:paraId="6BBE9250" w14:textId="77777777" w:rsidR="00570A9E" w:rsidRDefault="00570A9E">
      <w:pPr>
        <w:pStyle w:val="Sottotitolo"/>
        <w:spacing w:line="360" w:lineRule="auto"/>
      </w:pPr>
      <w:r>
        <w:t xml:space="preserve">POSA IN OPERA </w:t>
      </w:r>
    </w:p>
    <w:p w14:paraId="08FFFFC7" w14:textId="77777777" w:rsidR="00570A9E" w:rsidRDefault="00570A9E">
      <w:pPr>
        <w:spacing w:line="360" w:lineRule="auto"/>
        <w:jc w:val="both"/>
      </w:pPr>
      <w:r>
        <w:t xml:space="preserve">La posa in opera di pavimenti di qualsiasi tipo o genere dovrà venire eseguita in modo che la superficie risulti perfettamente piana ed osservando scrupolosamente le disposizioni impartite dall’A.D. </w:t>
      </w:r>
    </w:p>
    <w:p w14:paraId="60041A61" w14:textId="77777777" w:rsidR="00570A9E" w:rsidRDefault="00570A9E">
      <w:pPr>
        <w:spacing w:line="360" w:lineRule="auto"/>
        <w:jc w:val="both"/>
      </w:pPr>
      <w:r>
        <w:t>I singoli elementi dovranno combaciare esattamente fra di loro e/o riportare esatta distanza previa predisposizione dei distanziatori, dovranno risultare perfettamente fissati al sottostrato e non dovrà verificarsi, nelle connessure dei diversi elementi a contatto, la benché minima ineguaglianza. I pavimenti si addentreranno per minimo 10 mm. entro l’intonaco delle pareti, che sarà tirato verticalmente sino al pavimento, evitando quindi ogni raccordo o sguscio. Nel caso in cui venga prescritto il raccordo, debbono sovrapporsi al pavimento non solo il raccordo stesso, ma anche l’intonaco.</w:t>
      </w:r>
    </w:p>
    <w:p w14:paraId="1874F812" w14:textId="77777777" w:rsidR="00570A9E" w:rsidRDefault="00570A9E">
      <w:pPr>
        <w:spacing w:line="360" w:lineRule="auto"/>
        <w:jc w:val="both"/>
      </w:pPr>
      <w:r>
        <w:t>I pavimenti dovranno essere consegnati diligentemente finiti, lavorati e senza macchie di sorta.</w:t>
      </w:r>
    </w:p>
    <w:p w14:paraId="5A5D958A" w14:textId="77777777" w:rsidR="00570A9E" w:rsidRDefault="00570A9E">
      <w:pPr>
        <w:spacing w:line="360" w:lineRule="auto"/>
        <w:jc w:val="both"/>
      </w:pPr>
      <w:r>
        <w:t xml:space="preserve">Si fa presente che per un periodo di almeno dieci giorni dopo l’ultimazione di ciascun pavimento, vi sarà il divieto d’accesso di qualunque persona nei locali. </w:t>
      </w:r>
    </w:p>
    <w:p w14:paraId="533EC884" w14:textId="77777777" w:rsidR="00570A9E" w:rsidRDefault="00570A9E">
      <w:pPr>
        <w:spacing w:line="360" w:lineRule="auto"/>
        <w:jc w:val="both"/>
      </w:pPr>
      <w:r>
        <w:t>La messa in opera del pavimento prevede quattro fasi:</w:t>
      </w:r>
    </w:p>
    <w:p w14:paraId="2A9F53AF" w14:textId="77777777" w:rsidR="00570A9E" w:rsidRDefault="00570A9E">
      <w:pPr>
        <w:numPr>
          <w:ilvl w:val="0"/>
          <w:numId w:val="1"/>
        </w:numPr>
        <w:spacing w:line="360" w:lineRule="auto"/>
        <w:jc w:val="both"/>
      </w:pPr>
      <w:r>
        <w:t>posa delle piastrelle;</w:t>
      </w:r>
    </w:p>
    <w:p w14:paraId="3D5A3159" w14:textId="77777777" w:rsidR="00570A9E" w:rsidRDefault="00570A9E">
      <w:pPr>
        <w:numPr>
          <w:ilvl w:val="0"/>
          <w:numId w:val="1"/>
        </w:numPr>
        <w:spacing w:line="360" w:lineRule="auto"/>
        <w:jc w:val="both"/>
      </w:pPr>
      <w:r>
        <w:t>sigillatura dei giunti;</w:t>
      </w:r>
    </w:p>
    <w:p w14:paraId="4823F5D4" w14:textId="77777777" w:rsidR="00570A9E" w:rsidRDefault="00570A9E">
      <w:pPr>
        <w:numPr>
          <w:ilvl w:val="0"/>
          <w:numId w:val="1"/>
        </w:numPr>
        <w:spacing w:line="360" w:lineRule="auto"/>
        <w:jc w:val="both"/>
      </w:pPr>
      <w:r>
        <w:t xml:space="preserve">lavaggio; </w:t>
      </w:r>
    </w:p>
    <w:p w14:paraId="269A9F55" w14:textId="77777777" w:rsidR="00570A9E" w:rsidRDefault="00570A9E">
      <w:pPr>
        <w:numPr>
          <w:ilvl w:val="0"/>
          <w:numId w:val="1"/>
        </w:numPr>
        <w:spacing w:line="360" w:lineRule="auto"/>
        <w:jc w:val="both"/>
      </w:pPr>
      <w:r>
        <w:t>finitura:</w:t>
      </w:r>
    </w:p>
    <w:p w14:paraId="14DF4724" w14:textId="77777777" w:rsidR="00570A9E" w:rsidRDefault="00570A9E">
      <w:pPr>
        <w:spacing w:line="360" w:lineRule="auto"/>
        <w:ind w:left="360"/>
        <w:jc w:val="both"/>
      </w:pPr>
      <w:r>
        <w:t>-     impermeabilizzazione (eventuale);</w:t>
      </w:r>
    </w:p>
    <w:p w14:paraId="54B8D996" w14:textId="77777777" w:rsidR="00570A9E" w:rsidRDefault="00570A9E">
      <w:pPr>
        <w:tabs>
          <w:tab w:val="left" w:pos="720"/>
        </w:tabs>
        <w:spacing w:line="360" w:lineRule="auto"/>
        <w:ind w:left="360"/>
        <w:jc w:val="both"/>
      </w:pPr>
      <w:r>
        <w:t>-     ceratura (eventuale).</w:t>
      </w:r>
    </w:p>
    <w:p w14:paraId="52804175" w14:textId="77777777" w:rsidR="00570A9E" w:rsidRDefault="00570A9E">
      <w:pPr>
        <w:spacing w:line="360" w:lineRule="auto"/>
        <w:jc w:val="both"/>
      </w:pPr>
    </w:p>
    <w:p w14:paraId="1D5C09E9" w14:textId="77777777" w:rsidR="00570A9E" w:rsidRDefault="00570A9E">
      <w:pPr>
        <w:pStyle w:val="Titolo1"/>
      </w:pPr>
      <w:r>
        <w:t>POSA DELLE PIASTRELLE</w:t>
      </w:r>
    </w:p>
    <w:p w14:paraId="6EF4F267" w14:textId="77777777" w:rsidR="00570A9E" w:rsidRDefault="00570A9E">
      <w:pPr>
        <w:numPr>
          <w:ilvl w:val="1"/>
          <w:numId w:val="1"/>
        </w:numPr>
        <w:tabs>
          <w:tab w:val="clear" w:pos="1440"/>
        </w:tabs>
        <w:spacing w:line="360" w:lineRule="auto"/>
        <w:ind w:left="360"/>
        <w:jc w:val="both"/>
        <w:rPr>
          <w:i/>
          <w:iCs/>
        </w:rPr>
      </w:pPr>
      <w:r>
        <w:rPr>
          <w:i/>
          <w:iCs/>
        </w:rPr>
        <w:t xml:space="preserve">Posa a malta </w:t>
      </w:r>
    </w:p>
    <w:p w14:paraId="4604538D" w14:textId="77777777" w:rsidR="00570A9E" w:rsidRDefault="00570A9E">
      <w:pPr>
        <w:numPr>
          <w:ilvl w:val="2"/>
          <w:numId w:val="1"/>
        </w:numPr>
        <w:tabs>
          <w:tab w:val="clear" w:pos="2340"/>
          <w:tab w:val="left" w:pos="360"/>
        </w:tabs>
        <w:spacing w:line="360" w:lineRule="auto"/>
        <w:ind w:left="360"/>
        <w:jc w:val="both"/>
      </w:pPr>
      <w:r>
        <w:t>Ripulire il piano di posa asportando polveri, detriti ed eventuali residui oleosi;</w:t>
      </w:r>
    </w:p>
    <w:p w14:paraId="2F06250F" w14:textId="77777777" w:rsidR="00570A9E" w:rsidRDefault="00570A9E">
      <w:pPr>
        <w:numPr>
          <w:ilvl w:val="2"/>
          <w:numId w:val="1"/>
        </w:numPr>
        <w:tabs>
          <w:tab w:val="clear" w:pos="2340"/>
          <w:tab w:val="left" w:pos="360"/>
        </w:tabs>
        <w:spacing w:line="360" w:lineRule="auto"/>
        <w:ind w:left="360"/>
        <w:jc w:val="both"/>
      </w:pPr>
      <w:r>
        <w:lastRenderedPageBreak/>
        <w:t>Stendere uno strato uniforme di malta, di spessore non inferiore a 3 cm. Per la posa all’esterno si raccomanda di dare al sottofondo le pendenze necessarie a favorire il regolare deflusso delle acque piovane. Si consigliano pendenze non inferiori all’1%;</w:t>
      </w:r>
    </w:p>
    <w:p w14:paraId="19C88C50" w14:textId="77777777" w:rsidR="00570A9E" w:rsidRDefault="00570A9E">
      <w:pPr>
        <w:numPr>
          <w:ilvl w:val="2"/>
          <w:numId w:val="1"/>
        </w:numPr>
        <w:tabs>
          <w:tab w:val="clear" w:pos="2340"/>
          <w:tab w:val="left" w:pos="360"/>
        </w:tabs>
        <w:spacing w:line="360" w:lineRule="auto"/>
        <w:ind w:left="360"/>
        <w:jc w:val="both"/>
      </w:pPr>
      <w:r>
        <w:t>Cospargere la superficie di posa con un leggero strato di cemento in polvere (spolvero);</w:t>
      </w:r>
    </w:p>
    <w:p w14:paraId="3DBBA710" w14:textId="77777777" w:rsidR="00570A9E" w:rsidRDefault="00570A9E">
      <w:pPr>
        <w:numPr>
          <w:ilvl w:val="2"/>
          <w:numId w:val="1"/>
        </w:numPr>
        <w:tabs>
          <w:tab w:val="clear" w:pos="2340"/>
          <w:tab w:val="left" w:pos="360"/>
        </w:tabs>
        <w:spacing w:line="360" w:lineRule="auto"/>
        <w:ind w:left="360"/>
        <w:jc w:val="both"/>
      </w:pPr>
      <w:r>
        <w:t>Posare le piastrelle sopra la superficie così ottenuta avendo cura di mantenere il senso della trafila (il lato della piastrella con taglio vivo dovrebbe corrispondere sempre con lo stesso lato della piastrella attigua);</w:t>
      </w:r>
    </w:p>
    <w:p w14:paraId="6304EE05" w14:textId="77777777" w:rsidR="00570A9E" w:rsidRDefault="00570A9E">
      <w:pPr>
        <w:numPr>
          <w:ilvl w:val="2"/>
          <w:numId w:val="1"/>
        </w:numPr>
        <w:tabs>
          <w:tab w:val="clear" w:pos="2340"/>
          <w:tab w:val="left" w:pos="360"/>
        </w:tabs>
        <w:spacing w:line="360" w:lineRule="auto"/>
        <w:ind w:left="360"/>
        <w:jc w:val="both"/>
      </w:pPr>
      <w:r>
        <w:t>Lasciare tra le piastrelle un giunto libero. La larghezza del giunto va concordata con l’A.D. comunque è bene non sia inferiore a 3 mm.;</w:t>
      </w:r>
    </w:p>
    <w:p w14:paraId="4F2C3485" w14:textId="77777777" w:rsidR="00570A9E" w:rsidRDefault="00570A9E">
      <w:pPr>
        <w:numPr>
          <w:ilvl w:val="2"/>
          <w:numId w:val="1"/>
        </w:numPr>
        <w:tabs>
          <w:tab w:val="clear" w:pos="2340"/>
          <w:tab w:val="left" w:pos="360"/>
        </w:tabs>
        <w:spacing w:line="360" w:lineRule="auto"/>
        <w:ind w:left="360"/>
        <w:jc w:val="both"/>
      </w:pPr>
      <w:r>
        <w:t>Assicurare al pavimento giunti di dilatazione in grado di compensare le variazioni dimensionali causate dall’escursione termica. Internamente, nel caso si tratti di ambienti di piccole dimensioni, sarà sufficiente inserire un giunto sul perimetro esterno della stanza. Nel caso di superfici ampie è consigliabile inserire un giunto ogni 7 metri circa, sia longitudinalmente che trasversalmente. All’esterno, considerata la maggiore esposizione alle escursioni termiche, è opportuno inserire un giunto di almeno 5 mm. Ogni 4 metri circa, sia in senso longitudinale che trasversale;</w:t>
      </w:r>
    </w:p>
    <w:p w14:paraId="6DE7B213" w14:textId="77777777" w:rsidR="00570A9E" w:rsidRDefault="00570A9E">
      <w:pPr>
        <w:numPr>
          <w:ilvl w:val="2"/>
          <w:numId w:val="1"/>
        </w:numPr>
        <w:tabs>
          <w:tab w:val="clear" w:pos="2340"/>
          <w:tab w:val="left" w:pos="360"/>
        </w:tabs>
        <w:spacing w:line="360" w:lineRule="auto"/>
        <w:ind w:left="360"/>
        <w:jc w:val="both"/>
      </w:pPr>
      <w:r>
        <w:t>Battere in maniera uniforme il pavimento onde permettere una migliore adesione delle piastrelle con il letto di malta.</w:t>
      </w:r>
    </w:p>
    <w:p w14:paraId="6CA761FC" w14:textId="77777777" w:rsidR="00570A9E" w:rsidRDefault="00570A9E">
      <w:pPr>
        <w:numPr>
          <w:ilvl w:val="1"/>
          <w:numId w:val="1"/>
        </w:numPr>
        <w:tabs>
          <w:tab w:val="clear" w:pos="1440"/>
        </w:tabs>
        <w:spacing w:line="360" w:lineRule="auto"/>
        <w:ind w:left="360"/>
        <w:jc w:val="both"/>
        <w:rPr>
          <w:i/>
          <w:iCs/>
        </w:rPr>
      </w:pPr>
      <w:r>
        <w:rPr>
          <w:i/>
          <w:iCs/>
        </w:rPr>
        <w:t>Posa a colla</w:t>
      </w:r>
    </w:p>
    <w:p w14:paraId="6C66EDB7" w14:textId="77777777" w:rsidR="00570A9E" w:rsidRDefault="00570A9E">
      <w:pPr>
        <w:pStyle w:val="Rientrocorpodeltesto"/>
        <w:numPr>
          <w:ilvl w:val="2"/>
          <w:numId w:val="1"/>
        </w:numPr>
        <w:tabs>
          <w:tab w:val="clear" w:pos="2340"/>
        </w:tabs>
        <w:spacing w:line="360" w:lineRule="auto"/>
        <w:ind w:left="360"/>
      </w:pPr>
      <w:r>
        <w:t>Assicurarsi che il piano di posa sia perfettamente livellato e, in caso di posa all’esterno, abbia le pendenze necessarie a far defluire regolarmente le acque piovane;</w:t>
      </w:r>
    </w:p>
    <w:p w14:paraId="43BA7858" w14:textId="77777777" w:rsidR="00570A9E" w:rsidRDefault="00570A9E">
      <w:pPr>
        <w:numPr>
          <w:ilvl w:val="2"/>
          <w:numId w:val="1"/>
        </w:numPr>
        <w:tabs>
          <w:tab w:val="clear" w:pos="2340"/>
          <w:tab w:val="left" w:pos="360"/>
        </w:tabs>
        <w:spacing w:line="360" w:lineRule="auto"/>
        <w:ind w:left="360"/>
        <w:jc w:val="both"/>
      </w:pPr>
      <w:r>
        <w:t>Stendere un unico strato uniforme di collante utilizzando l’apposita spatola;</w:t>
      </w:r>
    </w:p>
    <w:p w14:paraId="63A7B357" w14:textId="77777777" w:rsidR="00570A9E" w:rsidRDefault="00570A9E">
      <w:pPr>
        <w:numPr>
          <w:ilvl w:val="2"/>
          <w:numId w:val="1"/>
        </w:numPr>
        <w:tabs>
          <w:tab w:val="clear" w:pos="2340"/>
          <w:tab w:val="left" w:pos="360"/>
        </w:tabs>
        <w:spacing w:line="360" w:lineRule="auto"/>
        <w:ind w:left="360"/>
        <w:jc w:val="both"/>
      </w:pPr>
      <w:r>
        <w:t>Posare le piastrelle prima che il collante, a contatto con l’aria, filmi superficialmente;</w:t>
      </w:r>
    </w:p>
    <w:p w14:paraId="3397F59C" w14:textId="77777777" w:rsidR="00570A9E" w:rsidRDefault="00570A9E">
      <w:pPr>
        <w:numPr>
          <w:ilvl w:val="2"/>
          <w:numId w:val="1"/>
        </w:numPr>
        <w:tabs>
          <w:tab w:val="clear" w:pos="2340"/>
          <w:tab w:val="left" w:pos="360"/>
        </w:tabs>
        <w:spacing w:line="360" w:lineRule="auto"/>
        <w:ind w:left="360"/>
        <w:jc w:val="both"/>
      </w:pPr>
      <w:r>
        <w:t>Lasciare tra le piastrelle un giunto libero di almeno 3 mm.;</w:t>
      </w:r>
    </w:p>
    <w:p w14:paraId="67B635D0" w14:textId="77777777" w:rsidR="00570A9E" w:rsidRDefault="00570A9E">
      <w:pPr>
        <w:numPr>
          <w:ilvl w:val="2"/>
          <w:numId w:val="1"/>
        </w:numPr>
        <w:tabs>
          <w:tab w:val="clear" w:pos="2340"/>
          <w:tab w:val="left" w:pos="360"/>
        </w:tabs>
        <w:spacing w:line="360" w:lineRule="auto"/>
        <w:ind w:left="360"/>
        <w:jc w:val="both"/>
      </w:pPr>
      <w:r>
        <w:t>Assicurare al pavimento giunti di dilatazione in grado di compensare le variazioni dimensionali causate dall’escursione termica;</w:t>
      </w:r>
    </w:p>
    <w:p w14:paraId="543B6C17" w14:textId="77777777" w:rsidR="00570A9E" w:rsidRDefault="00570A9E">
      <w:pPr>
        <w:numPr>
          <w:ilvl w:val="2"/>
          <w:numId w:val="1"/>
        </w:numPr>
        <w:tabs>
          <w:tab w:val="clear" w:pos="2340"/>
          <w:tab w:val="left" w:pos="360"/>
        </w:tabs>
        <w:spacing w:line="360" w:lineRule="auto"/>
        <w:ind w:left="360"/>
        <w:jc w:val="both"/>
      </w:pPr>
      <w:r>
        <w:t>Battere in maniera uniforme il pavimento onde permettere una migliore adesione delle piastrelle con lo strato di colla.</w:t>
      </w:r>
    </w:p>
    <w:p w14:paraId="06AE8E0B" w14:textId="77777777" w:rsidR="00570A9E" w:rsidRDefault="00570A9E">
      <w:pPr>
        <w:tabs>
          <w:tab w:val="left" w:pos="360"/>
        </w:tabs>
        <w:spacing w:line="360" w:lineRule="auto"/>
        <w:jc w:val="both"/>
      </w:pPr>
    </w:p>
    <w:p w14:paraId="718BEDBF" w14:textId="77777777" w:rsidR="00570A9E" w:rsidRDefault="00570A9E">
      <w:pPr>
        <w:pStyle w:val="Titolo1"/>
        <w:tabs>
          <w:tab w:val="left" w:pos="360"/>
        </w:tabs>
      </w:pPr>
      <w:r>
        <w:lastRenderedPageBreak/>
        <w:t>SIGILLATURE DEI GIUNTI</w:t>
      </w:r>
    </w:p>
    <w:p w14:paraId="202CA99B" w14:textId="77777777" w:rsidR="00570A9E" w:rsidRDefault="00570A9E">
      <w:pPr>
        <w:pStyle w:val="Corpodeltesto"/>
        <w:spacing w:line="360" w:lineRule="auto"/>
      </w:pPr>
      <w:r>
        <w:t>Con quest’operazione si vanno a colmare i giunti lasciati liberi fra piastrella e piastrella. Attenzione, non sigillare i giunti di dilatazione se non con gli appositi profili. Per il riempimento dei giunti si può utilizzare sia un impasto di cemento e sabbia, sia un sigillante sintetico preconfezionato.</w:t>
      </w:r>
    </w:p>
    <w:p w14:paraId="6C736477" w14:textId="77777777" w:rsidR="00570A9E" w:rsidRDefault="00570A9E">
      <w:pPr>
        <w:numPr>
          <w:ilvl w:val="1"/>
          <w:numId w:val="1"/>
        </w:numPr>
        <w:tabs>
          <w:tab w:val="clear" w:pos="1440"/>
        </w:tabs>
        <w:spacing w:line="360" w:lineRule="auto"/>
        <w:ind w:left="360"/>
        <w:jc w:val="both"/>
        <w:rPr>
          <w:i/>
          <w:iCs/>
        </w:rPr>
      </w:pPr>
      <w:r>
        <w:rPr>
          <w:i/>
          <w:iCs/>
        </w:rPr>
        <w:t>Riempimento dei giunti con impasto di cemento e sabbia (Boiacca Tradizionale).</w:t>
      </w:r>
    </w:p>
    <w:p w14:paraId="21E21C2C" w14:textId="77777777" w:rsidR="00570A9E" w:rsidRDefault="00570A9E">
      <w:pPr>
        <w:pStyle w:val="Corpodeltesto"/>
        <w:tabs>
          <w:tab w:val="clear" w:pos="360"/>
        </w:tabs>
        <w:spacing w:line="360" w:lineRule="auto"/>
      </w:pPr>
      <w:r>
        <w:t>Per giunti di larghezza compresa fra i 3 e i 5 millimetri:</w:t>
      </w:r>
    </w:p>
    <w:p w14:paraId="7A5F9009" w14:textId="77777777" w:rsidR="00570A9E" w:rsidRDefault="00570A9E">
      <w:pPr>
        <w:numPr>
          <w:ilvl w:val="2"/>
          <w:numId w:val="1"/>
        </w:numPr>
        <w:tabs>
          <w:tab w:val="clear" w:pos="2340"/>
        </w:tabs>
        <w:spacing w:line="360" w:lineRule="auto"/>
        <w:ind w:left="360"/>
        <w:jc w:val="both"/>
      </w:pPr>
      <w:r>
        <w:t>Sciogliere in acqua del Cemento Grigio 325 fino ad ottenere una soluzione di media densità.</w:t>
      </w:r>
    </w:p>
    <w:p w14:paraId="3F25911F" w14:textId="77777777" w:rsidR="00570A9E" w:rsidRDefault="00570A9E">
      <w:pPr>
        <w:numPr>
          <w:ilvl w:val="2"/>
          <w:numId w:val="1"/>
        </w:numPr>
        <w:tabs>
          <w:tab w:val="clear" w:pos="2340"/>
        </w:tabs>
        <w:spacing w:line="360" w:lineRule="auto"/>
        <w:ind w:left="360"/>
        <w:jc w:val="both"/>
      </w:pPr>
      <w:r>
        <w:t>Utilizzando una spatola gommata stendere la soluzione sul pavimento avendo cura di comprimerla all’interno dei giunti.</w:t>
      </w:r>
    </w:p>
    <w:p w14:paraId="1F3D22D0" w14:textId="77777777" w:rsidR="00570A9E" w:rsidRDefault="00570A9E">
      <w:pPr>
        <w:numPr>
          <w:ilvl w:val="2"/>
          <w:numId w:val="1"/>
        </w:numPr>
        <w:tabs>
          <w:tab w:val="clear" w:pos="2340"/>
        </w:tabs>
        <w:spacing w:line="360" w:lineRule="auto"/>
        <w:ind w:left="360"/>
        <w:jc w:val="both"/>
      </w:pPr>
      <w:r>
        <w:t>Ultimata la fase di riempimento, a giunti leggermente induriti, passare con una spugna umida rimovendo gli eccessi di soluzione e stilando singolarmente i giunti.</w:t>
      </w:r>
    </w:p>
    <w:p w14:paraId="076D4328" w14:textId="77777777" w:rsidR="00570A9E" w:rsidRDefault="00570A9E">
      <w:pPr>
        <w:spacing w:line="360" w:lineRule="auto"/>
        <w:jc w:val="both"/>
      </w:pPr>
      <w:r>
        <w:t>Per giunti di dimensioni comprese fra i 5 ed i 10 millimetri:</w:t>
      </w:r>
    </w:p>
    <w:p w14:paraId="05B614D9" w14:textId="77777777" w:rsidR="00570A9E" w:rsidRDefault="00570A9E">
      <w:pPr>
        <w:numPr>
          <w:ilvl w:val="2"/>
          <w:numId w:val="1"/>
        </w:numPr>
        <w:tabs>
          <w:tab w:val="clear" w:pos="2340"/>
          <w:tab w:val="left" w:pos="360"/>
        </w:tabs>
        <w:spacing w:line="360" w:lineRule="auto"/>
        <w:ind w:left="360"/>
        <w:jc w:val="both"/>
      </w:pPr>
      <w:r>
        <w:t>Impastare 100 1 di sabbia silicea pulita e 60-80 kg di cemento grigio 325.</w:t>
      </w:r>
    </w:p>
    <w:p w14:paraId="354A8EF7" w14:textId="77777777" w:rsidR="00570A9E" w:rsidRDefault="00570A9E">
      <w:pPr>
        <w:numPr>
          <w:ilvl w:val="2"/>
          <w:numId w:val="1"/>
        </w:numPr>
        <w:tabs>
          <w:tab w:val="clear" w:pos="2340"/>
          <w:tab w:val="left" w:pos="360"/>
        </w:tabs>
        <w:spacing w:line="360" w:lineRule="auto"/>
        <w:ind w:left="360"/>
        <w:jc w:val="both"/>
      </w:pPr>
      <w:r>
        <w:t>Stendere l’impasto utilizzando l’apposita spatola gommata e avendo cura di comprimerlo nei giunti.</w:t>
      </w:r>
    </w:p>
    <w:p w14:paraId="085B742C" w14:textId="77777777" w:rsidR="00570A9E" w:rsidRDefault="00570A9E">
      <w:pPr>
        <w:numPr>
          <w:ilvl w:val="2"/>
          <w:numId w:val="1"/>
        </w:numPr>
        <w:tabs>
          <w:tab w:val="clear" w:pos="2340"/>
          <w:tab w:val="left" w:pos="360"/>
        </w:tabs>
        <w:spacing w:line="360" w:lineRule="auto"/>
        <w:ind w:left="360"/>
        <w:jc w:val="both"/>
      </w:pPr>
      <w:r>
        <w:t>A giunti ancora plastici, rimuovere gli eccessi di malta cospargendo il pavimento con la stessa miscela utilizzata per il riempimento dei giunti, non impastata con acqua.</w:t>
      </w:r>
    </w:p>
    <w:p w14:paraId="378478AD" w14:textId="77777777" w:rsidR="00570A9E" w:rsidRDefault="00570A9E">
      <w:pPr>
        <w:numPr>
          <w:ilvl w:val="2"/>
          <w:numId w:val="1"/>
        </w:numPr>
        <w:tabs>
          <w:tab w:val="clear" w:pos="2340"/>
          <w:tab w:val="left" w:pos="360"/>
        </w:tabs>
        <w:spacing w:line="360" w:lineRule="auto"/>
        <w:ind w:left="360"/>
        <w:jc w:val="both"/>
      </w:pPr>
      <w:r>
        <w:t>Con una scopa di saggina strofinare energicamente la superficie delle piastrelle.</w:t>
      </w:r>
    </w:p>
    <w:p w14:paraId="701663A1" w14:textId="77777777" w:rsidR="00570A9E" w:rsidRDefault="00570A9E">
      <w:pPr>
        <w:numPr>
          <w:ilvl w:val="2"/>
          <w:numId w:val="1"/>
        </w:numPr>
        <w:tabs>
          <w:tab w:val="clear" w:pos="2340"/>
          <w:tab w:val="left" w:pos="360"/>
        </w:tabs>
        <w:spacing w:line="360" w:lineRule="auto"/>
        <w:ind w:left="360"/>
        <w:jc w:val="both"/>
      </w:pPr>
      <w:r>
        <w:t>Rimossa la risulta, passare con una spugna umida asportando gli ultimi eccessi di malta e stilando singolarmente i giunti.</w:t>
      </w:r>
    </w:p>
    <w:p w14:paraId="25F90F13" w14:textId="77777777" w:rsidR="00570A9E" w:rsidRDefault="00570A9E">
      <w:pPr>
        <w:tabs>
          <w:tab w:val="left" w:pos="360"/>
        </w:tabs>
        <w:spacing w:line="360" w:lineRule="auto"/>
        <w:jc w:val="both"/>
      </w:pPr>
      <w:r>
        <w:t>Per giunti di dimensioni superiori ai 10 millimetri:</w:t>
      </w:r>
    </w:p>
    <w:p w14:paraId="5EC421D8" w14:textId="77777777" w:rsidR="00570A9E" w:rsidRDefault="00570A9E">
      <w:pPr>
        <w:numPr>
          <w:ilvl w:val="2"/>
          <w:numId w:val="1"/>
        </w:numPr>
        <w:tabs>
          <w:tab w:val="clear" w:pos="2340"/>
          <w:tab w:val="left" w:pos="360"/>
        </w:tabs>
        <w:spacing w:line="360" w:lineRule="auto"/>
        <w:ind w:left="360"/>
        <w:jc w:val="both"/>
      </w:pPr>
      <w:r>
        <w:t>Impastare 1001 1 di sabbia silicea pulita e 50kg di cemento grigio 325.</w:t>
      </w:r>
    </w:p>
    <w:p w14:paraId="2553426C" w14:textId="77777777" w:rsidR="00570A9E" w:rsidRDefault="00570A9E">
      <w:pPr>
        <w:numPr>
          <w:ilvl w:val="2"/>
          <w:numId w:val="1"/>
        </w:numPr>
        <w:tabs>
          <w:tab w:val="clear" w:pos="2340"/>
          <w:tab w:val="left" w:pos="360"/>
        </w:tabs>
        <w:spacing w:line="360" w:lineRule="auto"/>
        <w:ind w:left="360"/>
        <w:jc w:val="both"/>
      </w:pPr>
      <w:r>
        <w:t>Seguire la stessa procedura esposta al paragrafo precedente.</w:t>
      </w:r>
    </w:p>
    <w:p w14:paraId="0627F2BE" w14:textId="77777777" w:rsidR="00570A9E" w:rsidRDefault="00570A9E">
      <w:pPr>
        <w:numPr>
          <w:ilvl w:val="1"/>
          <w:numId w:val="1"/>
        </w:numPr>
        <w:tabs>
          <w:tab w:val="clear" w:pos="1440"/>
        </w:tabs>
        <w:spacing w:line="360" w:lineRule="auto"/>
        <w:ind w:left="360"/>
        <w:jc w:val="both"/>
        <w:rPr>
          <w:i/>
          <w:iCs/>
        </w:rPr>
      </w:pPr>
      <w:r>
        <w:rPr>
          <w:i/>
          <w:iCs/>
        </w:rPr>
        <w:t>Riempimento dei giunti con sigillante sintetico preconfezionato.</w:t>
      </w:r>
    </w:p>
    <w:p w14:paraId="45981DC4" w14:textId="77777777" w:rsidR="00570A9E" w:rsidRDefault="00570A9E">
      <w:pPr>
        <w:pStyle w:val="Corpodeltesto"/>
        <w:tabs>
          <w:tab w:val="clear" w:pos="360"/>
        </w:tabs>
        <w:spacing w:line="360" w:lineRule="auto"/>
      </w:pPr>
      <w:r>
        <w:t>Esistono in commercio leganti per cotto già miscelati e pronti all’uso. Qualora si decidesse di utilizzare questi prodotti raccomandiamo alcune precauzioni:</w:t>
      </w:r>
    </w:p>
    <w:p w14:paraId="77BAD1A0" w14:textId="77777777" w:rsidR="00570A9E" w:rsidRDefault="00570A9E">
      <w:pPr>
        <w:numPr>
          <w:ilvl w:val="2"/>
          <w:numId w:val="1"/>
        </w:numPr>
        <w:tabs>
          <w:tab w:val="clear" w:pos="2340"/>
        </w:tabs>
        <w:spacing w:line="360" w:lineRule="auto"/>
        <w:ind w:left="360"/>
        <w:jc w:val="both"/>
      </w:pPr>
      <w:r>
        <w:t>È preferibile utilizzare prodotti la cui composizione sia esente da resine sintetiche o polimeri. Infatti queste sostanze tendono a penetrare nei pori della piastrella particolarmente nella zona perimetrale, determinando alonature che tendono a permanere anche dopo la finitura del pavimento.</w:t>
      </w:r>
    </w:p>
    <w:p w14:paraId="5508D6C4" w14:textId="77777777" w:rsidR="00570A9E" w:rsidRDefault="00570A9E">
      <w:pPr>
        <w:numPr>
          <w:ilvl w:val="2"/>
          <w:numId w:val="1"/>
        </w:numPr>
        <w:tabs>
          <w:tab w:val="clear" w:pos="2340"/>
        </w:tabs>
        <w:spacing w:line="360" w:lineRule="auto"/>
        <w:ind w:left="360"/>
        <w:jc w:val="both"/>
      </w:pPr>
      <w:r>
        <w:lastRenderedPageBreak/>
        <w:t>È opportuno evitare l’utilizzo di prodotti con colorazioni marcate. Questi prodotti, infatti, risultano assai difficili da asportare una volta che si siano ancorati alla superficie della piastrella e penetranti leggermente in profondità, tanto da richiedere in alcuni casi l’intervento di tecnici specializzati.</w:t>
      </w:r>
    </w:p>
    <w:p w14:paraId="4F240FEB" w14:textId="77777777" w:rsidR="00570A9E" w:rsidRDefault="00570A9E">
      <w:pPr>
        <w:spacing w:line="360" w:lineRule="auto"/>
        <w:jc w:val="both"/>
      </w:pPr>
    </w:p>
    <w:p w14:paraId="358387BC" w14:textId="77777777" w:rsidR="00570A9E" w:rsidRDefault="00570A9E">
      <w:pPr>
        <w:pStyle w:val="Titolo1"/>
      </w:pPr>
      <w:r>
        <w:t>LAVAGGIO</w:t>
      </w:r>
    </w:p>
    <w:p w14:paraId="11FAF737" w14:textId="77777777" w:rsidR="00570A9E" w:rsidRDefault="00570A9E">
      <w:pPr>
        <w:pStyle w:val="Corpodeltesto"/>
        <w:tabs>
          <w:tab w:val="clear" w:pos="360"/>
        </w:tabs>
        <w:spacing w:line="360" w:lineRule="auto"/>
      </w:pPr>
      <w:r>
        <w:t xml:space="preserve">Il lavaggio assolve a due diverse funzioni. </w:t>
      </w:r>
    </w:p>
    <w:p w14:paraId="63EAAA22" w14:textId="77777777" w:rsidR="00570A9E" w:rsidRDefault="00570A9E">
      <w:pPr>
        <w:numPr>
          <w:ilvl w:val="2"/>
          <w:numId w:val="1"/>
        </w:numPr>
        <w:tabs>
          <w:tab w:val="clear" w:pos="2340"/>
        </w:tabs>
        <w:spacing w:line="360" w:lineRule="auto"/>
        <w:ind w:left="360"/>
        <w:jc w:val="both"/>
      </w:pPr>
      <w:r>
        <w:t>Rimuovere i residui di boiacca rimasti sul pavimento dopo la stuccatura dei giunti.</w:t>
      </w:r>
    </w:p>
    <w:p w14:paraId="3C8DBA2F" w14:textId="77777777" w:rsidR="00570A9E" w:rsidRDefault="00570A9E">
      <w:pPr>
        <w:numPr>
          <w:ilvl w:val="2"/>
          <w:numId w:val="1"/>
        </w:numPr>
        <w:tabs>
          <w:tab w:val="clear" w:pos="2340"/>
        </w:tabs>
        <w:spacing w:line="360" w:lineRule="auto"/>
        <w:ind w:left="360"/>
        <w:jc w:val="both"/>
      </w:pPr>
      <w:r>
        <w:t>Asporta i depositi calcarei dovuti alla risalita dei sali di calcio disciolti nella malta di posa e nella boiacca utilizzata per stuccare i giunti.</w:t>
      </w:r>
    </w:p>
    <w:p w14:paraId="242C8321" w14:textId="77777777" w:rsidR="00570A9E" w:rsidRDefault="00570A9E">
      <w:pPr>
        <w:spacing w:line="360" w:lineRule="auto"/>
        <w:jc w:val="both"/>
      </w:pPr>
      <w:r>
        <w:t>È necessario eseguire il lavaggio a pavimento perfettamente asciutto.</w:t>
      </w:r>
    </w:p>
    <w:p w14:paraId="5AAF4B99" w14:textId="77777777" w:rsidR="00570A9E" w:rsidRDefault="00570A9E">
      <w:pPr>
        <w:spacing w:line="360" w:lineRule="auto"/>
        <w:jc w:val="both"/>
      </w:pPr>
    </w:p>
    <w:p w14:paraId="11F418C8" w14:textId="77777777" w:rsidR="00570A9E" w:rsidRDefault="00570A9E">
      <w:pPr>
        <w:pStyle w:val="Titolo1"/>
      </w:pPr>
      <w:r>
        <w:t>FINITURA</w:t>
      </w:r>
    </w:p>
    <w:p w14:paraId="5C676F38" w14:textId="77777777" w:rsidR="00570A9E" w:rsidRDefault="00570A9E">
      <w:pPr>
        <w:spacing w:line="360" w:lineRule="auto"/>
        <w:jc w:val="both"/>
      </w:pPr>
      <w:r>
        <w:t>L’intervento di finitura richiede modalità differenti a seconda che si tratti di una pavimentazione interna o esterna. Ricordiamo che è condizione indispensabile per una buona riuscita dell’operazione, attendere che il pavimento sia perfettamente asciutto, sia dopo il lavaggio che dopo le singole applicazioni di prodotto.</w:t>
      </w:r>
    </w:p>
    <w:p w14:paraId="0722AAE3" w14:textId="77777777" w:rsidR="00570A9E" w:rsidRDefault="00570A9E">
      <w:pPr>
        <w:spacing w:line="360" w:lineRule="auto"/>
        <w:jc w:val="both"/>
      </w:pPr>
      <w:r>
        <w:t xml:space="preserve">La finitura </w:t>
      </w:r>
      <w:proofErr w:type="gramStart"/>
      <w:r>
        <w:t>della pavimentazioni</w:t>
      </w:r>
      <w:proofErr w:type="gramEnd"/>
      <w:r>
        <w:t xml:space="preserve"> interne si articola in due fasi successive:</w:t>
      </w:r>
    </w:p>
    <w:p w14:paraId="58027D63" w14:textId="77777777" w:rsidR="00570A9E" w:rsidRDefault="00570A9E">
      <w:pPr>
        <w:numPr>
          <w:ilvl w:val="2"/>
          <w:numId w:val="1"/>
        </w:numPr>
        <w:tabs>
          <w:tab w:val="clear" w:pos="2340"/>
        </w:tabs>
        <w:spacing w:line="360" w:lineRule="auto"/>
        <w:ind w:left="360"/>
        <w:jc w:val="both"/>
      </w:pPr>
      <w:r>
        <w:t xml:space="preserve">Impermeabilizzazione </w:t>
      </w:r>
    </w:p>
    <w:p w14:paraId="72911E45" w14:textId="77777777" w:rsidR="00570A9E" w:rsidRDefault="00570A9E">
      <w:pPr>
        <w:numPr>
          <w:ilvl w:val="2"/>
          <w:numId w:val="1"/>
        </w:numPr>
        <w:tabs>
          <w:tab w:val="clear" w:pos="2340"/>
        </w:tabs>
        <w:spacing w:line="360" w:lineRule="auto"/>
        <w:ind w:left="360"/>
        <w:jc w:val="both"/>
      </w:pPr>
      <w:r>
        <w:t>Ceratura</w:t>
      </w:r>
    </w:p>
    <w:p w14:paraId="44433F11" w14:textId="77777777" w:rsidR="00570A9E" w:rsidRDefault="00570A9E">
      <w:pPr>
        <w:spacing w:line="360" w:lineRule="auto"/>
        <w:jc w:val="both"/>
      </w:pPr>
      <w:r>
        <w:t>L’impermeabilizzazione serve ad evitare che eventuali liquidi o sostanze oleose accidentalmente caduti sul pavimento, penetrino in profondità alterando le qualità estetiche del pavimento stesso.</w:t>
      </w:r>
    </w:p>
    <w:p w14:paraId="62D74EB5" w14:textId="77777777" w:rsidR="00570A9E" w:rsidRDefault="00570A9E">
      <w:pPr>
        <w:spacing w:line="360" w:lineRule="auto"/>
        <w:jc w:val="both"/>
      </w:pPr>
      <w:r>
        <w:t>La ceratura ha lo scopo di conferire al pavimento il tono di colore desiderato: chiaro o scuro, rosso o rosato, lucido o opaco.</w:t>
      </w:r>
    </w:p>
    <w:p w14:paraId="78F3664B" w14:textId="77777777" w:rsidR="00570A9E" w:rsidRDefault="00570A9E">
      <w:pPr>
        <w:spacing w:line="360" w:lineRule="auto"/>
        <w:jc w:val="both"/>
      </w:pPr>
    </w:p>
    <w:p w14:paraId="2CA844B5" w14:textId="77777777" w:rsidR="00570A9E" w:rsidRDefault="00570A9E">
      <w:pPr>
        <w:pStyle w:val="Titolo1"/>
      </w:pPr>
      <w:r>
        <w:t>IMPERMEABILIZZAZIONE</w:t>
      </w:r>
    </w:p>
    <w:p w14:paraId="4E60982A" w14:textId="77777777" w:rsidR="00570A9E" w:rsidRDefault="00570A9E">
      <w:pPr>
        <w:spacing w:line="360" w:lineRule="auto"/>
        <w:jc w:val="both"/>
      </w:pPr>
      <w:r>
        <w:t>L’impermeabilizzazione prevede l’applicazione a pavimento perfettamente asciutto, mediante una comune pennellessa, di un prodotto impermeabilizzante quale il Fila ES82. durante l’applicazione di questo prodotto è preferibile:</w:t>
      </w:r>
    </w:p>
    <w:p w14:paraId="6ABA56E0" w14:textId="77777777" w:rsidR="00570A9E" w:rsidRDefault="00570A9E">
      <w:pPr>
        <w:numPr>
          <w:ilvl w:val="2"/>
          <w:numId w:val="1"/>
        </w:numPr>
        <w:tabs>
          <w:tab w:val="clear" w:pos="2340"/>
        </w:tabs>
        <w:spacing w:line="360" w:lineRule="auto"/>
        <w:ind w:left="360"/>
        <w:jc w:val="both"/>
      </w:pPr>
      <w:r>
        <w:t>Iniziarne l’applicazione partendo dall’angolo più lontano rispetto alla porta d’ingresso, così da non essere costretti a calpestare il pavimento prima che il prodotto sia stato perfettamente assorbito dalle piastrelle.</w:t>
      </w:r>
    </w:p>
    <w:p w14:paraId="09A3C47E" w14:textId="77777777" w:rsidR="00570A9E" w:rsidRDefault="00570A9E">
      <w:pPr>
        <w:numPr>
          <w:ilvl w:val="2"/>
          <w:numId w:val="1"/>
        </w:numPr>
        <w:tabs>
          <w:tab w:val="clear" w:pos="2340"/>
        </w:tabs>
        <w:spacing w:line="360" w:lineRule="auto"/>
        <w:ind w:left="360"/>
        <w:jc w:val="both"/>
      </w:pPr>
      <w:r>
        <w:lastRenderedPageBreak/>
        <w:t>Evitare sovrapposizioni marcate che potrebbero determinare un diverso assorbimento della cera di finitura.</w:t>
      </w:r>
    </w:p>
    <w:p w14:paraId="6AB5C593" w14:textId="77777777" w:rsidR="00570A9E" w:rsidRDefault="00570A9E">
      <w:pPr>
        <w:spacing w:line="360" w:lineRule="auto"/>
        <w:jc w:val="both"/>
      </w:pPr>
    </w:p>
    <w:p w14:paraId="5A699442" w14:textId="77777777" w:rsidR="00570A9E" w:rsidRDefault="00570A9E">
      <w:pPr>
        <w:pStyle w:val="Titolo1"/>
      </w:pPr>
      <w:r>
        <w:t>CERATURA</w:t>
      </w:r>
    </w:p>
    <w:p w14:paraId="1F698B7C" w14:textId="77777777" w:rsidR="00570A9E" w:rsidRDefault="00570A9E">
      <w:pPr>
        <w:spacing w:line="360" w:lineRule="auto"/>
        <w:jc w:val="both"/>
      </w:pPr>
      <w:r>
        <w:t>L’operazione di ceratura consiste nell’applicazione, in tempi successivi ed a pavimento perfettamente asciutto, di almeno 2 mani di cera.</w:t>
      </w:r>
    </w:p>
    <w:p w14:paraId="2F18CFEA" w14:textId="77777777" w:rsidR="00570A9E" w:rsidRDefault="00570A9E">
      <w:pPr>
        <w:spacing w:line="360" w:lineRule="auto"/>
        <w:jc w:val="both"/>
      </w:pPr>
      <w:r>
        <w:t>Permettiamo che i tempi di attesa fra un’applicazione e l’altra di prodotto variano a seconda del clima, del tasso di umidità e della facilità con cui il sottofondo disperde i residui di umidità.</w:t>
      </w:r>
    </w:p>
    <w:p w14:paraId="65ED22DD" w14:textId="77777777" w:rsidR="00570A9E" w:rsidRDefault="00570A9E">
      <w:pPr>
        <w:spacing w:line="360" w:lineRule="auto"/>
        <w:jc w:val="both"/>
      </w:pPr>
      <w:r>
        <w:t>In fase di applicazione è bene adottare alcune precauzioni:</w:t>
      </w:r>
    </w:p>
    <w:p w14:paraId="555F76D7" w14:textId="77777777" w:rsidR="00570A9E" w:rsidRDefault="00570A9E">
      <w:pPr>
        <w:numPr>
          <w:ilvl w:val="2"/>
          <w:numId w:val="1"/>
        </w:numPr>
        <w:tabs>
          <w:tab w:val="clear" w:pos="2340"/>
        </w:tabs>
        <w:spacing w:line="360" w:lineRule="auto"/>
        <w:ind w:left="360"/>
        <w:jc w:val="both"/>
      </w:pPr>
      <w:r>
        <w:t>Considerato che l’applicazione della cera solida in pasta determina in via definitiva il tono di colore del pavimento, suggeriamo di effettuare alcune prove su piastrelle singole prima di procedere all’applicazione. Presso i rivenditori di detergenti industriali sono reperibili numerosi tipi di cere. Il catalogo Fila comprende una gamma completa di soluzioni possibili per ottenere il tono e colore desiderato.</w:t>
      </w:r>
    </w:p>
    <w:p w14:paraId="4A5EE7ED" w14:textId="77777777" w:rsidR="00570A9E" w:rsidRDefault="00570A9E">
      <w:pPr>
        <w:numPr>
          <w:ilvl w:val="2"/>
          <w:numId w:val="1"/>
        </w:numPr>
        <w:tabs>
          <w:tab w:val="clear" w:pos="2340"/>
        </w:tabs>
        <w:spacing w:line="360" w:lineRule="auto"/>
        <w:ind w:left="360"/>
        <w:jc w:val="both"/>
      </w:pPr>
      <w:r>
        <w:t>La cera in pasta va applicata in maniera uniforme evitando sovrapposizioni troppo marcate ed avendo cura di cerare perfettamente le fughe.</w:t>
      </w:r>
    </w:p>
    <w:p w14:paraId="35F4566D" w14:textId="77777777" w:rsidR="00570A9E" w:rsidRDefault="00570A9E">
      <w:pPr>
        <w:numPr>
          <w:ilvl w:val="2"/>
          <w:numId w:val="1"/>
        </w:numPr>
        <w:tabs>
          <w:tab w:val="clear" w:pos="2340"/>
        </w:tabs>
        <w:spacing w:line="360" w:lineRule="auto"/>
        <w:ind w:left="360"/>
        <w:jc w:val="both"/>
      </w:pPr>
      <w:r>
        <w:t xml:space="preserve">Alcuni tipi di cere risultano particolarmente dense e risultano di non facile applicazione nei climi freddi. Per questo suggeriamo di renderle più liquide scaldandole prima dell’uso a “bagno </w:t>
      </w:r>
      <w:proofErr w:type="spellStart"/>
      <w:r>
        <w:t>maria</w:t>
      </w:r>
      <w:proofErr w:type="spellEnd"/>
      <w:r>
        <w:t>”.</w:t>
      </w:r>
    </w:p>
    <w:p w14:paraId="79A45994" w14:textId="77777777" w:rsidR="00570A9E" w:rsidRDefault="00570A9E">
      <w:pPr>
        <w:numPr>
          <w:ilvl w:val="2"/>
          <w:numId w:val="1"/>
        </w:numPr>
        <w:tabs>
          <w:tab w:val="clear" w:pos="2340"/>
        </w:tabs>
        <w:spacing w:line="360" w:lineRule="auto"/>
        <w:ind w:left="360"/>
        <w:jc w:val="both"/>
      </w:pPr>
      <w:r>
        <w:t>Per dare al pavimento in cotto la sua tipica lucentezza suggeriamo di applicare, dopo la seconda mano di cera ed a pavimento asciutto, una mano leggerissima di cera liquida bianca. Quindi, a distanza di uno o due giorni, passare un panno di lana o la lucidatrice.</w:t>
      </w:r>
    </w:p>
    <w:p w14:paraId="3536B8ED" w14:textId="77777777" w:rsidR="00570A9E" w:rsidRDefault="00570A9E">
      <w:pPr>
        <w:pStyle w:val="Pidipagina"/>
        <w:tabs>
          <w:tab w:val="clear" w:pos="4819"/>
          <w:tab w:val="clear" w:pos="9638"/>
        </w:tabs>
        <w:spacing w:line="360" w:lineRule="auto"/>
      </w:pPr>
    </w:p>
    <w:p w14:paraId="0F61303F" w14:textId="77777777" w:rsidR="00570A9E" w:rsidRDefault="00570A9E">
      <w:pPr>
        <w:pStyle w:val="Pidipagina"/>
        <w:tabs>
          <w:tab w:val="clear" w:pos="4819"/>
          <w:tab w:val="clear" w:pos="9638"/>
        </w:tabs>
        <w:spacing w:line="360" w:lineRule="auto"/>
      </w:pPr>
      <w:r>
        <w:t xml:space="preserve">Firma per approvazione </w:t>
      </w:r>
      <w:proofErr w:type="gramStart"/>
      <w:r>
        <w:t>( Alta</w:t>
      </w:r>
      <w:proofErr w:type="gramEnd"/>
      <w:r>
        <w:t xml:space="preserve"> Direzione):   ......................................................................…………...</w:t>
      </w:r>
      <w:r>
        <w:tab/>
      </w:r>
      <w:r>
        <w:tab/>
      </w:r>
    </w:p>
    <w:p w14:paraId="1E8493B1" w14:textId="77777777" w:rsidR="00570A9E" w:rsidRDefault="00570A9E">
      <w:pPr>
        <w:spacing w:line="360" w:lineRule="auto"/>
      </w:pPr>
    </w:p>
    <w:sectPr w:rsidR="00570A9E">
      <w:head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84543C" w14:textId="77777777" w:rsidR="00F063C9" w:rsidRDefault="00F063C9" w:rsidP="00570A9E">
      <w:r>
        <w:separator/>
      </w:r>
    </w:p>
  </w:endnote>
  <w:endnote w:type="continuationSeparator" w:id="0">
    <w:p w14:paraId="6C1B8907" w14:textId="77777777" w:rsidR="00F063C9" w:rsidRDefault="00F063C9" w:rsidP="00570A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utch766 BT">
    <w:altName w:val="Cambria"/>
    <w:charset w:val="00"/>
    <w:family w:val="roman"/>
    <w:pitch w:val="variable"/>
    <w:sig w:usb0="00000001" w:usb1="00000000" w:usb2="00000000" w:usb3="00000000" w:csb0="0000001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7A73C1" w14:textId="77777777" w:rsidR="00F063C9" w:rsidRDefault="00F063C9" w:rsidP="00570A9E">
      <w:r>
        <w:separator/>
      </w:r>
    </w:p>
  </w:footnote>
  <w:footnote w:type="continuationSeparator" w:id="0">
    <w:p w14:paraId="6A512DB3" w14:textId="77777777" w:rsidR="00F063C9" w:rsidRDefault="00F063C9" w:rsidP="00570A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790" w:type="dxa"/>
      <w:tblBorders>
        <w:top w:val="single" w:sz="4" w:space="0" w:color="auto"/>
        <w:left w:val="single" w:sz="4" w:space="0" w:color="auto"/>
        <w:bottom w:val="single" w:sz="4" w:space="0" w:color="auto"/>
        <w:right w:val="single" w:sz="4" w:space="0" w:color="auto"/>
        <w:insideV w:val="single" w:sz="6" w:space="0" w:color="auto"/>
      </w:tblBorders>
      <w:shd w:val="clear" w:color="auto" w:fill="E6E6E6"/>
      <w:tblLayout w:type="fixed"/>
      <w:tblCellMar>
        <w:left w:w="70" w:type="dxa"/>
        <w:right w:w="70" w:type="dxa"/>
      </w:tblCellMar>
      <w:tblLook w:val="0000" w:firstRow="0" w:lastRow="0" w:firstColumn="0" w:lastColumn="0" w:noHBand="0" w:noVBand="0"/>
    </w:tblPr>
    <w:tblGrid>
      <w:gridCol w:w="2950"/>
      <w:gridCol w:w="1975"/>
      <w:gridCol w:w="1808"/>
      <w:gridCol w:w="3057"/>
    </w:tblGrid>
    <w:tr w:rsidR="00D21681" w14:paraId="0DBF1449" w14:textId="77777777">
      <w:tblPrEx>
        <w:tblCellMar>
          <w:top w:w="0" w:type="dxa"/>
          <w:bottom w:w="0" w:type="dxa"/>
        </w:tblCellMar>
      </w:tblPrEx>
      <w:trPr>
        <w:cantSplit/>
        <w:trHeight w:val="1270"/>
      </w:trPr>
      <w:tc>
        <w:tcPr>
          <w:tcW w:w="2950" w:type="dxa"/>
          <w:tcBorders>
            <w:top w:val="double" w:sz="4" w:space="0" w:color="auto"/>
            <w:left w:val="double" w:sz="4" w:space="0" w:color="auto"/>
            <w:bottom w:val="single" w:sz="6" w:space="0" w:color="auto"/>
          </w:tcBorders>
          <w:shd w:val="clear" w:color="auto" w:fill="D9D9D9"/>
          <w:vAlign w:val="center"/>
        </w:tcPr>
        <w:p w14:paraId="6B424B00" w14:textId="10A37007" w:rsidR="00D21681" w:rsidRDefault="00D21681" w:rsidP="00D21681">
          <w:pPr>
            <w:jc w:val="center"/>
            <w:rPr>
              <w:rFonts w:ascii="Arial" w:hAnsi="Arial" w:cs="Arial"/>
              <w:b/>
              <w:color w:val="800000"/>
            </w:rPr>
          </w:pPr>
          <w:r w:rsidRPr="00941B25">
            <w:rPr>
              <w:rFonts w:ascii="Arial" w:hAnsi="Arial" w:cs="Arial"/>
              <w:color w:val="800000"/>
              <w:szCs w:val="20"/>
            </w:rPr>
            <w:t>Pangea s.r.l.</w:t>
          </w:r>
        </w:p>
      </w:tc>
      <w:tc>
        <w:tcPr>
          <w:tcW w:w="3783" w:type="dxa"/>
          <w:gridSpan w:val="2"/>
          <w:tcBorders>
            <w:top w:val="double" w:sz="4" w:space="0" w:color="auto"/>
            <w:bottom w:val="single" w:sz="6" w:space="0" w:color="auto"/>
          </w:tcBorders>
          <w:shd w:val="clear" w:color="auto" w:fill="E6E6E6"/>
          <w:vAlign w:val="center"/>
        </w:tcPr>
        <w:p w14:paraId="69441FCE" w14:textId="77777777" w:rsidR="00D21681" w:rsidRDefault="00D21681" w:rsidP="00D21681">
          <w:pPr>
            <w:pStyle w:val="Titolo2"/>
            <w:rPr>
              <w:rFonts w:ascii="Arial" w:hAnsi="Arial" w:cs="Arial"/>
              <w:color w:val="800000"/>
              <w:sz w:val="36"/>
            </w:rPr>
          </w:pPr>
          <w:r>
            <w:rPr>
              <w:rFonts w:ascii="Arial" w:hAnsi="Arial" w:cs="Arial"/>
              <w:color w:val="800000"/>
              <w:sz w:val="24"/>
            </w:rPr>
            <w:t>Scheda lavorazioni</w:t>
          </w:r>
        </w:p>
      </w:tc>
      <w:tc>
        <w:tcPr>
          <w:tcW w:w="3057" w:type="dxa"/>
          <w:tcBorders>
            <w:top w:val="double" w:sz="4" w:space="0" w:color="auto"/>
            <w:bottom w:val="single" w:sz="6" w:space="0" w:color="auto"/>
            <w:right w:val="double" w:sz="4" w:space="0" w:color="auto"/>
          </w:tcBorders>
          <w:shd w:val="clear" w:color="auto" w:fill="E6E6E6"/>
          <w:vAlign w:val="center"/>
        </w:tcPr>
        <w:p w14:paraId="758515BF" w14:textId="77777777" w:rsidR="00D21681" w:rsidRDefault="00D21681" w:rsidP="00D21681">
          <w:pPr>
            <w:jc w:val="right"/>
            <w:rPr>
              <w:color w:val="800000"/>
              <w:sz w:val="22"/>
            </w:rPr>
          </w:pPr>
        </w:p>
        <w:p w14:paraId="0DA04084" w14:textId="77777777" w:rsidR="00D21681" w:rsidRDefault="00D21681" w:rsidP="00D21681">
          <w:pPr>
            <w:jc w:val="right"/>
            <w:rPr>
              <w:rFonts w:ascii="Arial" w:hAnsi="Arial" w:cs="Arial"/>
              <w:color w:val="800000"/>
              <w:sz w:val="22"/>
            </w:rPr>
          </w:pPr>
          <w:r>
            <w:rPr>
              <w:rFonts w:ascii="Arial" w:hAnsi="Arial" w:cs="Arial"/>
              <w:color w:val="800000"/>
              <w:sz w:val="22"/>
            </w:rPr>
            <w:t xml:space="preserve">Rif. </w:t>
          </w:r>
          <w:r>
            <w:rPr>
              <w:rFonts w:ascii="Arial" w:hAnsi="Arial" w:cs="Arial"/>
              <w:b/>
              <w:bCs/>
              <w:color w:val="800000"/>
              <w:sz w:val="22"/>
            </w:rPr>
            <w:t>IDL 7-1 G</w:t>
          </w:r>
        </w:p>
        <w:p w14:paraId="57D7D2CE" w14:textId="77777777" w:rsidR="00D21681" w:rsidRDefault="00D21681" w:rsidP="00D21681">
          <w:pPr>
            <w:jc w:val="right"/>
            <w:rPr>
              <w:rFonts w:ascii="Arial" w:hAnsi="Arial" w:cs="Arial"/>
              <w:color w:val="800000"/>
              <w:sz w:val="22"/>
            </w:rPr>
          </w:pPr>
          <w:r>
            <w:rPr>
              <w:rFonts w:ascii="Arial" w:hAnsi="Arial" w:cs="Arial"/>
              <w:color w:val="800000"/>
              <w:sz w:val="22"/>
            </w:rPr>
            <w:t xml:space="preserve">Ed. </w:t>
          </w:r>
          <w:r>
            <w:rPr>
              <w:rFonts w:ascii="Arial" w:hAnsi="Arial" w:cs="Arial"/>
              <w:b/>
              <w:bCs/>
              <w:color w:val="800000"/>
              <w:sz w:val="22"/>
            </w:rPr>
            <w:t xml:space="preserve">1 </w:t>
          </w:r>
          <w:r>
            <w:rPr>
              <w:rFonts w:ascii="Arial" w:hAnsi="Arial" w:cs="Arial"/>
              <w:color w:val="800000"/>
              <w:sz w:val="22"/>
            </w:rPr>
            <w:t xml:space="preserve">Rev. </w:t>
          </w:r>
          <w:r>
            <w:rPr>
              <w:rFonts w:ascii="Arial" w:hAnsi="Arial" w:cs="Arial"/>
              <w:b/>
              <w:bCs/>
              <w:color w:val="800000"/>
              <w:sz w:val="22"/>
            </w:rPr>
            <w:t>0</w:t>
          </w:r>
          <w:r>
            <w:rPr>
              <w:rFonts w:ascii="Arial" w:hAnsi="Arial" w:cs="Arial"/>
              <w:color w:val="800000"/>
              <w:sz w:val="22"/>
            </w:rPr>
            <w:t xml:space="preserve"> </w:t>
          </w:r>
        </w:p>
      </w:tc>
    </w:tr>
    <w:tr w:rsidR="00D21681" w14:paraId="2CA410A1" w14:textId="77777777">
      <w:tblPrEx>
        <w:tblCellMar>
          <w:top w:w="0" w:type="dxa"/>
          <w:bottom w:w="0" w:type="dxa"/>
        </w:tblCellMar>
      </w:tblPrEx>
      <w:trPr>
        <w:cantSplit/>
      </w:trPr>
      <w:tc>
        <w:tcPr>
          <w:tcW w:w="4925" w:type="dxa"/>
          <w:gridSpan w:val="2"/>
          <w:tcBorders>
            <w:top w:val="single" w:sz="6" w:space="0" w:color="auto"/>
            <w:left w:val="double" w:sz="4" w:space="0" w:color="auto"/>
            <w:bottom w:val="double" w:sz="4" w:space="0" w:color="auto"/>
            <w:right w:val="nil"/>
          </w:tcBorders>
          <w:shd w:val="clear" w:color="auto" w:fill="E6E6E6"/>
        </w:tcPr>
        <w:p w14:paraId="7679FA20" w14:textId="77777777" w:rsidR="00D21681" w:rsidRDefault="00D21681" w:rsidP="00D21681">
          <w:pPr>
            <w:pStyle w:val="Titolo5"/>
            <w:rPr>
              <w:rFonts w:ascii="Times New Roman" w:hAnsi="Times New Roman" w:cs="Times New Roman"/>
              <w:color w:val="800000"/>
              <w:sz w:val="22"/>
            </w:rPr>
          </w:pPr>
          <w:r>
            <w:rPr>
              <w:rFonts w:ascii="Times New Roman" w:hAnsi="Times New Roman" w:cs="Times New Roman"/>
              <w:color w:val="800000"/>
            </w:rPr>
            <w:t>Sezione sette</w:t>
          </w:r>
        </w:p>
      </w:tc>
      <w:tc>
        <w:tcPr>
          <w:tcW w:w="4865" w:type="dxa"/>
          <w:gridSpan w:val="2"/>
          <w:tcBorders>
            <w:top w:val="single" w:sz="6" w:space="0" w:color="auto"/>
            <w:left w:val="nil"/>
            <w:bottom w:val="double" w:sz="4" w:space="0" w:color="auto"/>
            <w:right w:val="double" w:sz="4" w:space="0" w:color="auto"/>
          </w:tcBorders>
          <w:shd w:val="clear" w:color="auto" w:fill="E6E6E6"/>
        </w:tcPr>
        <w:p w14:paraId="407D9403" w14:textId="77777777" w:rsidR="00D21681" w:rsidRDefault="00D21681" w:rsidP="00D21681">
          <w:pPr>
            <w:pStyle w:val="Titolo5"/>
            <w:jc w:val="right"/>
            <w:rPr>
              <w:rFonts w:ascii="Times New Roman" w:hAnsi="Times New Roman" w:cs="Times New Roman"/>
              <w:color w:val="800000"/>
            </w:rPr>
          </w:pPr>
          <w:r>
            <w:rPr>
              <w:rFonts w:ascii="Times New Roman" w:hAnsi="Times New Roman" w:cs="Times New Roman"/>
              <w:color w:val="800000"/>
            </w:rPr>
            <w:t xml:space="preserve">Pagina </w:t>
          </w:r>
          <w:r>
            <w:rPr>
              <w:rFonts w:ascii="Century Gothic" w:hAnsi="Century Gothic" w:cs="Times New Roman"/>
              <w:color w:val="800000"/>
            </w:rPr>
            <w:fldChar w:fldCharType="begin"/>
          </w:r>
          <w:r>
            <w:rPr>
              <w:rFonts w:ascii="Century Gothic" w:hAnsi="Century Gothic" w:cs="Times New Roman"/>
              <w:color w:val="800000"/>
            </w:rPr>
            <w:instrText xml:space="preserve"> PAGE </w:instrText>
          </w:r>
          <w:r>
            <w:rPr>
              <w:rFonts w:ascii="Century Gothic" w:hAnsi="Century Gothic" w:cs="Times New Roman"/>
              <w:color w:val="800000"/>
            </w:rPr>
            <w:fldChar w:fldCharType="separate"/>
          </w:r>
          <w:r>
            <w:rPr>
              <w:rFonts w:ascii="Century Gothic" w:hAnsi="Century Gothic" w:cs="Times New Roman"/>
              <w:noProof/>
              <w:color w:val="800000"/>
            </w:rPr>
            <w:t>2</w:t>
          </w:r>
          <w:r>
            <w:rPr>
              <w:rFonts w:ascii="Century Gothic" w:hAnsi="Century Gothic" w:cs="Times New Roman"/>
              <w:color w:val="800000"/>
            </w:rPr>
            <w:fldChar w:fldCharType="end"/>
          </w:r>
          <w:r>
            <w:rPr>
              <w:rFonts w:ascii="Times New Roman" w:hAnsi="Times New Roman" w:cs="Times New Roman"/>
              <w:color w:val="800000"/>
            </w:rPr>
            <w:t xml:space="preserve"> di </w:t>
          </w:r>
          <w:r>
            <w:rPr>
              <w:rFonts w:ascii="Times New Roman" w:hAnsi="Times New Roman" w:cs="Times New Roman"/>
              <w:color w:val="800000"/>
            </w:rPr>
            <w:fldChar w:fldCharType="begin"/>
          </w:r>
          <w:r>
            <w:rPr>
              <w:rFonts w:ascii="Times New Roman" w:hAnsi="Times New Roman" w:cs="Times New Roman"/>
              <w:color w:val="800000"/>
            </w:rPr>
            <w:instrText xml:space="preserve"> NUMPAGES </w:instrText>
          </w:r>
          <w:r>
            <w:rPr>
              <w:rFonts w:ascii="Times New Roman" w:hAnsi="Times New Roman" w:cs="Times New Roman"/>
              <w:color w:val="800000"/>
            </w:rPr>
            <w:fldChar w:fldCharType="separate"/>
          </w:r>
          <w:r>
            <w:rPr>
              <w:rFonts w:ascii="Times New Roman" w:hAnsi="Times New Roman" w:cs="Times New Roman"/>
              <w:noProof/>
              <w:color w:val="800000"/>
            </w:rPr>
            <w:t>6</w:t>
          </w:r>
          <w:r>
            <w:rPr>
              <w:rFonts w:ascii="Times New Roman" w:hAnsi="Times New Roman" w:cs="Times New Roman"/>
              <w:color w:val="800000"/>
            </w:rPr>
            <w:fldChar w:fldCharType="end"/>
          </w:r>
        </w:p>
      </w:tc>
    </w:tr>
  </w:tbl>
  <w:p w14:paraId="2D1ECCA7" w14:textId="77777777" w:rsidR="00570A9E" w:rsidRDefault="00570A9E">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A313909"/>
    <w:multiLevelType w:val="hybridMultilevel"/>
    <w:tmpl w:val="3C5E4710"/>
    <w:lvl w:ilvl="0" w:tplc="0410000F">
      <w:start w:val="1"/>
      <w:numFmt w:val="decimal"/>
      <w:lvlText w:val="%1."/>
      <w:lvlJc w:val="left"/>
      <w:pPr>
        <w:tabs>
          <w:tab w:val="num" w:pos="720"/>
        </w:tabs>
        <w:ind w:left="720" w:hanging="360"/>
      </w:pPr>
    </w:lvl>
    <w:lvl w:ilvl="1" w:tplc="04100001">
      <w:start w:val="1"/>
      <w:numFmt w:val="bullet"/>
      <w:lvlText w:val=""/>
      <w:lvlJc w:val="left"/>
      <w:pPr>
        <w:tabs>
          <w:tab w:val="num" w:pos="1440"/>
        </w:tabs>
        <w:ind w:left="1440" w:hanging="360"/>
      </w:pPr>
      <w:rPr>
        <w:rFonts w:ascii="Symbol" w:hAnsi="Symbol" w:hint="default"/>
      </w:rPr>
    </w:lvl>
    <w:lvl w:ilvl="2" w:tplc="AA761E36">
      <w:numFmt w:val="bullet"/>
      <w:lvlText w:val="-"/>
      <w:lvlJc w:val="left"/>
      <w:pPr>
        <w:tabs>
          <w:tab w:val="num" w:pos="2340"/>
        </w:tabs>
        <w:ind w:left="2340" w:hanging="360"/>
      </w:pPr>
      <w:rPr>
        <w:rFonts w:ascii="Times New Roman" w:eastAsia="Times New Roman" w:hAnsi="Times New Roman" w:cs="Times New Roman" w:hint="default"/>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16cid:durableId="18112412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08"/>
  <w:hyphenationZone w:val="283"/>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8E3"/>
    <w:rsid w:val="004608E3"/>
    <w:rsid w:val="00570A9E"/>
    <w:rsid w:val="00D21681"/>
    <w:rsid w:val="00F063C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D95DC9"/>
  <w15:chartTrackingRefBased/>
  <w15:docId w15:val="{FBBEE896-6DC5-4F41-A3E5-A45A19A42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4"/>
      <w:szCs w:val="24"/>
    </w:rPr>
  </w:style>
  <w:style w:type="paragraph" w:styleId="Titolo1">
    <w:name w:val="heading 1"/>
    <w:basedOn w:val="Normale"/>
    <w:next w:val="Normale"/>
    <w:qFormat/>
    <w:pPr>
      <w:keepNext/>
      <w:spacing w:line="360" w:lineRule="auto"/>
      <w:jc w:val="center"/>
      <w:outlineLvl w:val="0"/>
    </w:pPr>
    <w:rPr>
      <w:b/>
    </w:rPr>
  </w:style>
  <w:style w:type="paragraph" w:styleId="Titolo2">
    <w:name w:val="heading 2"/>
    <w:basedOn w:val="Normale"/>
    <w:next w:val="Normale"/>
    <w:qFormat/>
    <w:pPr>
      <w:keepNext/>
      <w:jc w:val="center"/>
      <w:outlineLvl w:val="1"/>
    </w:pPr>
    <w:rPr>
      <w:i/>
      <w:sz w:val="28"/>
      <w:szCs w:val="20"/>
    </w:rPr>
  </w:style>
  <w:style w:type="paragraph" w:styleId="Titolo5">
    <w:name w:val="heading 5"/>
    <w:basedOn w:val="Normale"/>
    <w:next w:val="Normale"/>
    <w:qFormat/>
    <w:pPr>
      <w:keepNext/>
      <w:outlineLvl w:val="4"/>
    </w:pPr>
    <w:rPr>
      <w:rFonts w:ascii="Arial" w:hAnsi="Arial" w:cs="Arial"/>
      <w:i/>
      <w:iCs/>
      <w:sz w:val="20"/>
      <w:szCs w:val="20"/>
    </w:rPr>
  </w:style>
  <w:style w:type="character" w:default="1" w:styleId="Carpredefinitoparagrafo">
    <w:name w:val="Default Paragraph Font"/>
    <w:semiHidden/>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semiHidden/>
    <w:pPr>
      <w:tabs>
        <w:tab w:val="center" w:pos="4819"/>
        <w:tab w:val="right" w:pos="9638"/>
      </w:tabs>
    </w:pPr>
  </w:style>
  <w:style w:type="paragraph" w:styleId="Pidipagina">
    <w:name w:val="footer"/>
    <w:basedOn w:val="Normale"/>
    <w:semiHidden/>
    <w:pPr>
      <w:tabs>
        <w:tab w:val="center" w:pos="4819"/>
        <w:tab w:val="right" w:pos="9638"/>
      </w:tabs>
    </w:pPr>
  </w:style>
  <w:style w:type="paragraph" w:styleId="Rientrocorpodeltesto">
    <w:name w:val="Body Text Indent"/>
    <w:basedOn w:val="Normale"/>
    <w:semiHidden/>
    <w:pPr>
      <w:ind w:left="142"/>
    </w:pPr>
    <w:rPr>
      <w:rFonts w:ascii="Dutch766 BT" w:hAnsi="Dutch766 BT"/>
    </w:rPr>
  </w:style>
  <w:style w:type="paragraph" w:styleId="Titolo">
    <w:name w:val="Title"/>
    <w:basedOn w:val="Normale"/>
    <w:qFormat/>
    <w:pPr>
      <w:jc w:val="center"/>
    </w:pPr>
    <w:rPr>
      <w:b/>
      <w:bCs/>
      <w:sz w:val="36"/>
      <w:u w:val="single"/>
    </w:rPr>
  </w:style>
  <w:style w:type="paragraph" w:styleId="Sottotitolo">
    <w:name w:val="Subtitle"/>
    <w:basedOn w:val="Normale"/>
    <w:qFormat/>
    <w:pPr>
      <w:jc w:val="both"/>
    </w:pPr>
    <w:rPr>
      <w:b/>
      <w:bCs/>
    </w:rPr>
  </w:style>
  <w:style w:type="paragraph" w:styleId="Corpodeltesto">
    <w:name w:val="Corpo del testo"/>
    <w:basedOn w:val="Normale"/>
    <w:semiHidden/>
    <w:pPr>
      <w:tabs>
        <w:tab w:val="left" w:pos="360"/>
      </w:tabs>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1371</Words>
  <Characters>7819</Characters>
  <Application>Microsoft Office Word</Application>
  <DocSecurity>0</DocSecurity>
  <Lines>65</Lines>
  <Paragraphs>18</Paragraphs>
  <ScaleCrop>false</ScaleCrop>
  <HeadingPairs>
    <vt:vector size="2" baseType="variant">
      <vt:variant>
        <vt:lpstr>Titolo</vt:lpstr>
      </vt:variant>
      <vt:variant>
        <vt:i4>1</vt:i4>
      </vt:variant>
    </vt:vector>
  </HeadingPairs>
  <TitlesOfParts>
    <vt:vector size="1" baseType="lpstr">
      <vt:lpstr>Titolo del corso: </vt:lpstr>
    </vt:vector>
  </TitlesOfParts>
  <Company>Impresa Giuliano Roversi</Company>
  <LinksUpToDate>false</LinksUpToDate>
  <CharactersWithSpaces>9172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Titolo del corso:</dc:title>
  <dc:subject/>
  <dc:creator>Giacomo Roversi</dc:creator>
  <cp:keywords/>
  <dc:description/>
  <cp:lastModifiedBy>Marco</cp:lastModifiedBy>
  <cp:revision>2</cp:revision>
  <cp:lastPrinted>2015-09-16T15:01:00Z</cp:lastPrinted>
  <dcterms:created xsi:type="dcterms:W3CDTF">2024-05-07T16:04:00Z</dcterms:created>
  <dcterms:modified xsi:type="dcterms:W3CDTF">2024-05-07T16:04:00Z</dcterms:modified>
</cp:coreProperties>
</file>