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47B0D" w14:textId="77777777" w:rsidR="00385C3F" w:rsidRDefault="00385C3F">
      <w:pPr>
        <w:ind w:left="142"/>
        <w:rPr>
          <w:rFonts w:ascii="Dutch766 BT" w:hAnsi="Dutch766 B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2"/>
      </w:tblGrid>
      <w:tr w:rsidR="00385C3F" w14:paraId="64921354" w14:textId="77777777">
        <w:tblPrEx>
          <w:tblCellMar>
            <w:top w:w="0" w:type="dxa"/>
            <w:bottom w:w="0" w:type="dxa"/>
          </w:tblCellMar>
        </w:tblPrEx>
        <w:tc>
          <w:tcPr>
            <w:tcW w:w="97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E02FF1" w14:textId="77777777" w:rsidR="00385C3F" w:rsidRDefault="00385C3F">
            <w:pPr>
              <w:pStyle w:val="Rientrocorpodeltesto"/>
              <w:rPr>
                <w:rFonts w:ascii="Times New Roman" w:hAnsi="Times New Roman"/>
              </w:rPr>
            </w:pPr>
          </w:p>
          <w:p w14:paraId="559BEFAD" w14:textId="77777777" w:rsidR="00385C3F" w:rsidRDefault="00385C3F">
            <w:pPr>
              <w:pStyle w:val="Rientrocorpodeltesto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Lavorazione tipo: </w:t>
            </w:r>
            <w:r>
              <w:rPr>
                <w:rFonts w:ascii="Times New Roman" w:hAnsi="Times New Roman"/>
                <w:b/>
                <w:bCs/>
                <w:sz w:val="32"/>
              </w:rPr>
              <w:t>CONTROTELAI E SERRAMENTI</w:t>
            </w:r>
          </w:p>
          <w:p w14:paraId="5A46AE1A" w14:textId="77777777" w:rsidR="00385C3F" w:rsidRDefault="00385C3F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</w:tbl>
    <w:p w14:paraId="52FC6F55" w14:textId="77777777" w:rsidR="00385C3F" w:rsidRDefault="00385C3F"/>
    <w:p w14:paraId="3947E659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</w:pPr>
    </w:p>
    <w:p w14:paraId="165CAF57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Tra telaio fisso e vano murario, sede dell’infisso può venire interposto il controtelaio. Generalmente fissato al muro mediante zanche, ha lo scopo di ammortizzare le imperfezioni presenti nel vano murario e di costituire un solido supporto per il fissaggio a tenuta del telaio fisso.</w:t>
      </w:r>
    </w:p>
    <w:p w14:paraId="7CBF4942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Generalmente il controtelaio è costituito da due montanti ed un traverso, può essere in legno con zanche metalliche per il fissaggio al vano murario, o in lamiera zincata profilata a freddo.</w:t>
      </w:r>
    </w:p>
    <w:p w14:paraId="516A7312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Se si mura direttamente il telaio fisso, provvisto di zanche e/o da fissare con perni ad espansione, è necessario prevedere le opportune tolleranze per un montaggio in regola.</w:t>
      </w:r>
    </w:p>
    <w:p w14:paraId="7BCD4A62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Le essenze utilizzate per realizzare infissi possono essere sia tenere che dure ma l’elemento deve essere privo di nodi, senza fenditure, ben stagionato, con una presenza d’acqua inferiore al 15%, deve, essere posto ad un procedimento di impregnazione ignifugo o antiparassitario.</w:t>
      </w:r>
    </w:p>
    <w:p w14:paraId="0DAB916F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Sono utilizzati anche legni lamellari (realizzati con listelli stagionati artificialmente, di essenze diverse, e incollati con colle) che permettono, rispetto ai prodotti tradizionali, le migliori prestazioni meccaniche ed una maggior resistenza agli agenti atmosferici. Per realizzare i telai è necessario provvedere ad </w:t>
      </w:r>
      <w:proofErr w:type="gramStart"/>
      <w:r>
        <w:t>un esatta</w:t>
      </w:r>
      <w:proofErr w:type="gramEnd"/>
      <w:r>
        <w:t xml:space="preserve"> configurazione dei nodi tra traverse (superiore ed inferiore) e montanti.</w:t>
      </w:r>
    </w:p>
    <w:p w14:paraId="09F6FE4F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Per gli elementi che costituiscono il telaio fisso, non particolarmente sollecitato, l’incastro è a mascella.</w:t>
      </w:r>
    </w:p>
    <w:p w14:paraId="6386CBE7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Per gli elementi che costituiscono il telaio mobile, più sollecitato, è bene ricorrere ad un incastro maschio - femmina con nodi di giunzioni in metallo o nylon da inserire in appositi incavi ricavati all’interno dell’elemento.</w:t>
      </w:r>
    </w:p>
    <w:p w14:paraId="45494764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Il telaio mobile e il telaio fisso possono essere complanari o non. Deve essere chiarita la geometria dell’apertura in modo che le parti mobili non interferiscano tra loro, né con gli altri elementi.</w:t>
      </w:r>
    </w:p>
    <w:p w14:paraId="2744A571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Nel disegno della battuta tra telaio mobile e traversa inferiore possono essere previsti dei canali di spurgo per l’acqua eventualmente infiltratasi. I sistemi di battuta possono essere a rasamento, a bietta, a doppia o tripla battuta.</w:t>
      </w:r>
    </w:p>
    <w:p w14:paraId="0F8B98ED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Possono avere geometria diversa: a spezzate perpendicolari, sghembe, a “scozia” o “bocca di lupo”. Per ovviare alla spinta del vento sono state ricavate all’interno del nodo, nei segmenti di raccordo </w:t>
      </w:r>
      <w:r>
        <w:lastRenderedPageBreak/>
        <w:t>tra le battute, delle camere di decompressione. Il nodo inferiore, che risulta il più esposto alle intemperie è protetto da u gocciolatoio inserito nel traverso con lavorazione a parte.</w:t>
      </w:r>
    </w:p>
    <w:p w14:paraId="79766A66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Il gocciolatoio è aggiunto alla traversa inferiore del telaio mobile per proteggere il giunto, con un incastro a coda di rondine: la scanalatura che rompe la goccia deve avere sezione opportuna e deve sporgere rispetto alla traversa del telaio fisso ovvero del risalto della soglia per allontanare l’acqua in modo sicuro.</w:t>
      </w:r>
    </w:p>
    <w:p w14:paraId="4EDCD4FF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Tra il telaio fisso e il telaio mobile si possono avere uno o più contatti (che assicurano la tenuta dell’acqua) e una o più camere d’aria (che assicurano la tenuta al vento). Il disegno del nodo tra telaio fisso e telaio mobile può avere geometria diversa: la spezzata può essere composta da segmenti perpendicolari tra loro (a bocca di lupo) o ancora curvilinei.</w:t>
      </w:r>
    </w:p>
    <w:p w14:paraId="08E423EA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Al telaio possono essere aggiunti dei profili di geometria opportuna (cartelle) atti a contenere e/o schermare le ferramenta. L’UNI ha codificato i profili delle intelaiature per finestre, balconi, persiane scorrevoli, cassonetti per avvolgibili.</w:t>
      </w:r>
    </w:p>
    <w:p w14:paraId="3342835A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 sistemi di fissaggio del serramento al vano sono previsti sui montanti. Il fissaggio può avvenire direttamente ovvero tramite controtelaio. Il controtelaio è fissato dal muratore la vano. Sul controtelaio il falegname avvita a secco sia il telaio fisso che quello mobile. Tra controtelaio e serramento deve essere prevista una tolleranza di 10 mm. Questo sistema garantisce allineamenti e piombi più precisi e la sostituzione dell’elemento costruttivo senza arrecare danni al vano murario. Se non esiste il controtelaio, nel montaggio del telaio fisso deve essere garantito un perfetto posizionamento a piombo.</w:t>
      </w:r>
    </w:p>
    <w:p w14:paraId="19B5E824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Il vano può presentare configurazioni adatte ad accogliere in modo opportuno il serramento. Il serramento può essere montato filo esterno, a filo interno, in posizione intermedia. Il vano può presentare predisposta una battuta al serramento (mazzetta, imbotte).</w:t>
      </w:r>
    </w:p>
    <w:p w14:paraId="72977BC0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Il giunto tra serramento e finitura ad intonaco del vano circostante può avvenire predisponendo dei canali nell’intonaco, fresando dei canali nel telaio, coprendo il giunto con un regolo.</w:t>
      </w:r>
    </w:p>
    <w:p w14:paraId="38736A50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Sulla parte inferiore del vano si colloca una soglia con la funzione di raccogliere ed allontanare dal paramento sottostante l’acqua meteorica che ha dilavato il serramento. </w:t>
      </w:r>
    </w:p>
    <w:p w14:paraId="3EC258C1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Il collegamento tra traversa inferiore e soglia può avvenire con soluzioni diverse. Nella soglia è ricavato un battente per posizionare la traversa inferiore, per impedire infiltrazioni. La soglia può essere unica, in due pezzi; può avere altre battute o risalti per gli oscuramenti.</w:t>
      </w:r>
    </w:p>
    <w:p w14:paraId="40D3A7D9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Il telaio mobile può prevedere due soluzioni per il montaggio del vetro: la battentatura o la scanalatura (ad infilare).</w:t>
      </w:r>
    </w:p>
    <w:p w14:paraId="12DB1177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lastRenderedPageBreak/>
        <w:t>Il fissaggio del vetro può avvenire chiodatura e stucco, tramite fermavetro, prevedendo scanalature (a infilare). Nella soluzione con fermavetro, ovvero nella soluzione ad infilare può essere prevista l’interposizione di guarnizioni.</w:t>
      </w:r>
    </w:p>
    <w:p w14:paraId="7939CFB4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 dispositivi di movimento possono considerare la rotazione, verticale ed orizzontale, e lo scorrimento. Le cerniere, che consentono le rotazioni su un asse verticale, prevedono diverse tipologie: le principali sono: a bietta, a rasare, a sedia. I perni, che consentono le rotazioni su un asse orizzontale sono a scatola semplici, a scatola con frizione. Esistono altre tipologie di meccanismi che permettono di ottenere minori ingombri nell’apertura ovvero permettono di ottenere tipologie particolari di aperture (a ventola, a bussola).</w:t>
      </w:r>
    </w:p>
    <w:p w14:paraId="39E2258D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 dispositivi di bloccaggio sono: a cremonese, a leva, ad asta rigida, a grimagliera: i comandi possono essere a leva o a manovella, eventualmente motorizzati.</w:t>
      </w:r>
    </w:p>
    <w:p w14:paraId="33C76120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 dispositivi di oscuramento possono essere interni od esterni. Tra quelli esterni vi sono le persiane e avvolgibili.</w:t>
      </w:r>
    </w:p>
    <w:p w14:paraId="02E5C65F" w14:textId="77777777" w:rsidR="00385C3F" w:rsidRDefault="00385C3F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Le persiane a loro volta sono caratterizzate dal loro movimento (a cerniera, scorrevoli). Per quelle a cerniera possono essere previste partiture più articolate, “a fisarmonica”. Le articolazioni dei dispositivi possono interessare opere accessorie da prevedersi nelle zone perimetrali del vano (raccoglitori, comandi, massellature per fissaggi).</w:t>
      </w:r>
    </w:p>
    <w:p w14:paraId="64E33AE3" w14:textId="77777777" w:rsidR="00385C3F" w:rsidRDefault="00385C3F">
      <w:pPr>
        <w:pStyle w:val="Pidipagina"/>
        <w:tabs>
          <w:tab w:val="clear" w:pos="4819"/>
          <w:tab w:val="clear" w:pos="9638"/>
        </w:tabs>
        <w:spacing w:line="360" w:lineRule="auto"/>
        <w:jc w:val="both"/>
      </w:pPr>
    </w:p>
    <w:p w14:paraId="7C570FC5" w14:textId="77777777" w:rsidR="00385C3F" w:rsidRDefault="00385C3F">
      <w:pPr>
        <w:pStyle w:val="Pidipagina"/>
        <w:tabs>
          <w:tab w:val="clear" w:pos="4819"/>
          <w:tab w:val="clear" w:pos="9638"/>
        </w:tabs>
        <w:spacing w:line="360" w:lineRule="auto"/>
        <w:jc w:val="both"/>
      </w:pPr>
      <w:r>
        <w:t xml:space="preserve">Firma per approvazione </w:t>
      </w:r>
      <w:proofErr w:type="gramStart"/>
      <w:r>
        <w:t>( Alta</w:t>
      </w:r>
      <w:proofErr w:type="gramEnd"/>
      <w:r>
        <w:t xml:space="preserve"> Direzione):   ......................................................................…………..</w:t>
      </w:r>
      <w:r>
        <w:tab/>
      </w:r>
      <w:r>
        <w:tab/>
      </w:r>
      <w:r>
        <w:tab/>
      </w:r>
      <w:r>
        <w:tab/>
      </w:r>
    </w:p>
    <w:sectPr w:rsidR="00385C3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6DF97" w14:textId="77777777" w:rsidR="00D638EA" w:rsidRDefault="00D638EA" w:rsidP="00385C3F">
      <w:r>
        <w:separator/>
      </w:r>
    </w:p>
  </w:endnote>
  <w:endnote w:type="continuationSeparator" w:id="0">
    <w:p w14:paraId="54EFAE6E" w14:textId="77777777" w:rsidR="00D638EA" w:rsidRDefault="00D638EA" w:rsidP="0038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766 BT">
    <w:altName w:val="Cambria"/>
    <w:charset w:val="00"/>
    <w:family w:val="roman"/>
    <w:pitch w:val="variable"/>
    <w:sig w:usb0="00000001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D68EF" w14:textId="77777777" w:rsidR="00D638EA" w:rsidRDefault="00D638EA" w:rsidP="00385C3F">
      <w:r>
        <w:separator/>
      </w:r>
    </w:p>
  </w:footnote>
  <w:footnote w:type="continuationSeparator" w:id="0">
    <w:p w14:paraId="1F0A7B62" w14:textId="77777777" w:rsidR="00D638EA" w:rsidRDefault="00D638EA" w:rsidP="0038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0"/>
      <w:gridCol w:w="1795"/>
      <w:gridCol w:w="1805"/>
      <w:gridCol w:w="3060"/>
    </w:tblGrid>
    <w:tr w:rsidR="00F646EA" w14:paraId="52B7F53A" w14:textId="77777777" w:rsidTr="00F646EA">
      <w:tblPrEx>
        <w:tblCellMar>
          <w:top w:w="0" w:type="dxa"/>
          <w:bottom w:w="0" w:type="dxa"/>
        </w:tblCellMar>
      </w:tblPrEx>
      <w:trPr>
        <w:cantSplit/>
        <w:trHeight w:val="1270"/>
      </w:trPr>
      <w:tc>
        <w:tcPr>
          <w:tcW w:w="3130" w:type="dxa"/>
          <w:tcBorders>
            <w:top w:val="double" w:sz="4" w:space="0" w:color="auto"/>
            <w:left w:val="double" w:sz="4" w:space="0" w:color="auto"/>
            <w:bottom w:val="single" w:sz="6" w:space="0" w:color="auto"/>
          </w:tcBorders>
          <w:shd w:val="clear" w:color="auto" w:fill="D9D9D9"/>
          <w:vAlign w:val="center"/>
        </w:tcPr>
        <w:p w14:paraId="303A8AC9" w14:textId="3C71A8B1" w:rsidR="00F646EA" w:rsidRDefault="00F646EA" w:rsidP="00F646EA">
          <w:pPr>
            <w:jc w:val="center"/>
            <w:rPr>
              <w:rFonts w:ascii="Century Gothic" w:hAnsi="Century Gothic" w:cs="Arial"/>
              <w:b/>
              <w:color w:val="800000"/>
            </w:rPr>
          </w:pPr>
          <w:r w:rsidRPr="00941B25">
            <w:rPr>
              <w:rFonts w:ascii="Arial" w:hAnsi="Arial" w:cs="Arial"/>
              <w:color w:val="800000"/>
              <w:szCs w:val="20"/>
            </w:rPr>
            <w:t>Pangea s.r.l.</w:t>
          </w:r>
        </w:p>
      </w:tc>
      <w:tc>
        <w:tcPr>
          <w:tcW w:w="3600" w:type="dxa"/>
          <w:gridSpan w:val="2"/>
          <w:tcBorders>
            <w:top w:val="double" w:sz="4" w:space="0" w:color="auto"/>
            <w:bottom w:val="single" w:sz="6" w:space="0" w:color="auto"/>
          </w:tcBorders>
          <w:shd w:val="clear" w:color="auto" w:fill="E6E6E6"/>
          <w:vAlign w:val="center"/>
        </w:tcPr>
        <w:p w14:paraId="50EB1B3C" w14:textId="77777777" w:rsidR="00F646EA" w:rsidRDefault="00F646EA" w:rsidP="00F646EA">
          <w:pPr>
            <w:pStyle w:val="Titolo2"/>
            <w:rPr>
              <w:rFonts w:ascii="Century Gothic" w:hAnsi="Century Gothic" w:cs="Arial"/>
              <w:color w:val="800000"/>
              <w:sz w:val="36"/>
            </w:rPr>
          </w:pPr>
          <w:r>
            <w:rPr>
              <w:rFonts w:ascii="Century Gothic" w:hAnsi="Century Gothic" w:cs="Arial"/>
              <w:color w:val="800000"/>
              <w:sz w:val="24"/>
            </w:rPr>
            <w:t>Scheda lavorazioni</w:t>
          </w:r>
        </w:p>
      </w:tc>
      <w:tc>
        <w:tcPr>
          <w:tcW w:w="3060" w:type="dxa"/>
          <w:tcBorders>
            <w:top w:val="double" w:sz="4" w:space="0" w:color="auto"/>
            <w:bottom w:val="single" w:sz="6" w:space="0" w:color="auto"/>
            <w:right w:val="double" w:sz="4" w:space="0" w:color="auto"/>
          </w:tcBorders>
          <w:shd w:val="clear" w:color="auto" w:fill="E6E6E6"/>
          <w:vAlign w:val="center"/>
        </w:tcPr>
        <w:p w14:paraId="66809AF2" w14:textId="77777777" w:rsidR="00F646EA" w:rsidRDefault="00F646EA" w:rsidP="00F646EA">
          <w:pPr>
            <w:jc w:val="right"/>
            <w:rPr>
              <w:rFonts w:ascii="Century Gothic" w:hAnsi="Century Gothic"/>
              <w:color w:val="800000"/>
              <w:sz w:val="22"/>
            </w:rPr>
          </w:pPr>
        </w:p>
        <w:p w14:paraId="6EC5210F" w14:textId="77777777" w:rsidR="00F646EA" w:rsidRDefault="00F646EA" w:rsidP="00F646EA">
          <w:pPr>
            <w:jc w:val="right"/>
            <w:rPr>
              <w:rFonts w:ascii="Century Gothic" w:hAnsi="Century Gothic" w:cs="Arial"/>
              <w:color w:val="800000"/>
              <w:sz w:val="22"/>
            </w:rPr>
          </w:pPr>
          <w:r>
            <w:rPr>
              <w:rFonts w:ascii="Century Gothic" w:hAnsi="Century Gothic" w:cs="Arial"/>
              <w:color w:val="800000"/>
              <w:sz w:val="22"/>
            </w:rPr>
            <w:t xml:space="preserve">Rif. </w:t>
          </w:r>
          <w:r>
            <w:rPr>
              <w:rFonts w:ascii="Century Gothic" w:hAnsi="Century Gothic" w:cs="Arial"/>
              <w:b/>
              <w:bCs/>
              <w:color w:val="800000"/>
              <w:sz w:val="22"/>
            </w:rPr>
            <w:t>IDL7-1 Q</w:t>
          </w:r>
        </w:p>
        <w:p w14:paraId="1B9232EA" w14:textId="77777777" w:rsidR="00F646EA" w:rsidRDefault="00F646EA" w:rsidP="00F646EA">
          <w:pPr>
            <w:jc w:val="right"/>
            <w:rPr>
              <w:rFonts w:ascii="Century Gothic" w:hAnsi="Century Gothic" w:cs="Arial"/>
              <w:color w:val="800000"/>
              <w:sz w:val="22"/>
            </w:rPr>
          </w:pPr>
          <w:r>
            <w:rPr>
              <w:rFonts w:ascii="Century Gothic" w:hAnsi="Century Gothic" w:cs="Arial"/>
              <w:color w:val="800000"/>
              <w:sz w:val="22"/>
            </w:rPr>
            <w:t xml:space="preserve">Ed. </w:t>
          </w:r>
          <w:r>
            <w:rPr>
              <w:rFonts w:ascii="Century Gothic" w:hAnsi="Century Gothic" w:cs="Arial"/>
              <w:b/>
              <w:bCs/>
              <w:color w:val="800000"/>
              <w:sz w:val="22"/>
            </w:rPr>
            <w:t xml:space="preserve">1 </w:t>
          </w:r>
          <w:r>
            <w:rPr>
              <w:rFonts w:ascii="Century Gothic" w:hAnsi="Century Gothic" w:cs="Arial"/>
              <w:color w:val="800000"/>
              <w:sz w:val="22"/>
            </w:rPr>
            <w:t xml:space="preserve">Rev. </w:t>
          </w:r>
          <w:r>
            <w:rPr>
              <w:rFonts w:ascii="Century Gothic" w:hAnsi="Century Gothic" w:cs="Arial"/>
              <w:b/>
              <w:bCs/>
              <w:color w:val="800000"/>
              <w:sz w:val="22"/>
            </w:rPr>
            <w:t>0</w:t>
          </w:r>
          <w:r>
            <w:rPr>
              <w:rFonts w:ascii="Century Gothic" w:hAnsi="Century Gothic" w:cs="Arial"/>
              <w:color w:val="800000"/>
              <w:sz w:val="22"/>
            </w:rPr>
            <w:t xml:space="preserve"> </w:t>
          </w:r>
        </w:p>
      </w:tc>
    </w:tr>
    <w:tr w:rsidR="00F646EA" w14:paraId="2F1DF659" w14:textId="77777777" w:rsidTr="00F646EA">
      <w:tblPrEx>
        <w:tblCellMar>
          <w:top w:w="0" w:type="dxa"/>
          <w:bottom w:w="0" w:type="dxa"/>
        </w:tblCellMar>
      </w:tblPrEx>
      <w:trPr>
        <w:cantSplit/>
      </w:trPr>
      <w:tc>
        <w:tcPr>
          <w:tcW w:w="4925" w:type="dxa"/>
          <w:gridSpan w:val="2"/>
          <w:tcBorders>
            <w:top w:val="single" w:sz="6" w:space="0" w:color="auto"/>
            <w:left w:val="double" w:sz="4" w:space="0" w:color="auto"/>
            <w:bottom w:val="double" w:sz="4" w:space="0" w:color="auto"/>
            <w:right w:val="nil"/>
          </w:tcBorders>
          <w:shd w:val="clear" w:color="auto" w:fill="E6E6E6"/>
        </w:tcPr>
        <w:p w14:paraId="76479114" w14:textId="77777777" w:rsidR="00F646EA" w:rsidRDefault="00F646EA" w:rsidP="00F646EA">
          <w:pPr>
            <w:pStyle w:val="Titolo5"/>
            <w:rPr>
              <w:rFonts w:ascii="Century Gothic" w:hAnsi="Century Gothic" w:cs="Times New Roman"/>
              <w:color w:val="800000"/>
              <w:sz w:val="22"/>
            </w:rPr>
          </w:pPr>
          <w:r>
            <w:rPr>
              <w:rFonts w:ascii="Century Gothic" w:hAnsi="Century Gothic" w:cs="Times New Roman"/>
              <w:color w:val="800000"/>
            </w:rPr>
            <w:t>Sezione sette</w:t>
          </w:r>
        </w:p>
      </w:tc>
      <w:tc>
        <w:tcPr>
          <w:tcW w:w="4865" w:type="dxa"/>
          <w:gridSpan w:val="2"/>
          <w:tcBorders>
            <w:top w:val="single" w:sz="6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E6E6E6"/>
        </w:tcPr>
        <w:p w14:paraId="32959265" w14:textId="77777777" w:rsidR="00F646EA" w:rsidRDefault="00F646EA" w:rsidP="00F646EA">
          <w:pPr>
            <w:pStyle w:val="Titolo5"/>
            <w:jc w:val="right"/>
            <w:rPr>
              <w:rFonts w:ascii="Century Gothic" w:hAnsi="Century Gothic" w:cs="Times New Roman"/>
              <w:color w:val="800000"/>
            </w:rPr>
          </w:pPr>
          <w:r>
            <w:rPr>
              <w:rFonts w:ascii="Century Gothic" w:hAnsi="Century Gothic" w:cs="Times New Roman"/>
              <w:color w:val="800000"/>
            </w:rPr>
            <w:t xml:space="preserve">Pagina </w:t>
          </w:r>
          <w:r>
            <w:rPr>
              <w:rFonts w:ascii="Century Gothic" w:hAnsi="Century Gothic" w:cs="Times New Roman"/>
              <w:color w:val="800000"/>
            </w:rPr>
            <w:fldChar w:fldCharType="begin"/>
          </w:r>
          <w:r>
            <w:rPr>
              <w:rFonts w:ascii="Century Gothic" w:hAnsi="Century Gothic" w:cs="Times New Roman"/>
              <w:color w:val="800000"/>
            </w:rPr>
            <w:instrText xml:space="preserve"> PAGE </w:instrText>
          </w:r>
          <w:r>
            <w:rPr>
              <w:rFonts w:ascii="Century Gothic" w:hAnsi="Century Gothic" w:cs="Times New Roman"/>
              <w:color w:val="800000"/>
            </w:rPr>
            <w:fldChar w:fldCharType="separate"/>
          </w:r>
          <w:r>
            <w:rPr>
              <w:rFonts w:ascii="Century Gothic" w:hAnsi="Century Gothic" w:cs="Times New Roman"/>
              <w:noProof/>
              <w:color w:val="800000"/>
            </w:rPr>
            <w:t>2</w:t>
          </w:r>
          <w:r>
            <w:rPr>
              <w:rFonts w:ascii="Century Gothic" w:hAnsi="Century Gothic" w:cs="Times New Roman"/>
              <w:color w:val="800000"/>
            </w:rPr>
            <w:fldChar w:fldCharType="end"/>
          </w:r>
          <w:r>
            <w:rPr>
              <w:rFonts w:ascii="Century Gothic" w:hAnsi="Century Gothic" w:cs="Times New Roman"/>
              <w:color w:val="800000"/>
            </w:rPr>
            <w:t xml:space="preserve"> di </w:t>
          </w:r>
          <w:r>
            <w:rPr>
              <w:rFonts w:ascii="Century Gothic" w:hAnsi="Century Gothic" w:cs="Times New Roman"/>
              <w:color w:val="800000"/>
            </w:rPr>
            <w:fldChar w:fldCharType="begin"/>
          </w:r>
          <w:r>
            <w:rPr>
              <w:rFonts w:ascii="Century Gothic" w:hAnsi="Century Gothic" w:cs="Times New Roman"/>
              <w:color w:val="800000"/>
            </w:rPr>
            <w:instrText xml:space="preserve"> NUMPAGES </w:instrText>
          </w:r>
          <w:r>
            <w:rPr>
              <w:rFonts w:ascii="Century Gothic" w:hAnsi="Century Gothic" w:cs="Times New Roman"/>
              <w:color w:val="800000"/>
            </w:rPr>
            <w:fldChar w:fldCharType="separate"/>
          </w:r>
          <w:r>
            <w:rPr>
              <w:rFonts w:ascii="Century Gothic" w:hAnsi="Century Gothic" w:cs="Times New Roman"/>
              <w:noProof/>
              <w:color w:val="800000"/>
            </w:rPr>
            <w:t>4</w:t>
          </w:r>
          <w:r>
            <w:rPr>
              <w:rFonts w:ascii="Century Gothic" w:hAnsi="Century Gothic" w:cs="Times New Roman"/>
              <w:color w:val="800000"/>
            </w:rPr>
            <w:fldChar w:fldCharType="end"/>
          </w:r>
        </w:p>
      </w:tc>
    </w:tr>
  </w:tbl>
  <w:p w14:paraId="2B807D04" w14:textId="77777777" w:rsidR="00385C3F" w:rsidRDefault="00385C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ED"/>
    <w:rsid w:val="000806ED"/>
    <w:rsid w:val="00385C3F"/>
    <w:rsid w:val="00D638EA"/>
    <w:rsid w:val="00F6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B6D1E"/>
  <w15:chartTrackingRefBased/>
  <w15:docId w15:val="{9CA3DF02-116F-43A1-9490-34BC8320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142"/>
    </w:pPr>
    <w:rPr>
      <w:rFonts w:ascii="Dutch766 BT" w:hAnsi="Dutch766 BT"/>
    </w:rPr>
  </w:style>
  <w:style w:type="paragraph" w:styleId="Titolo">
    <w:name w:val="Title"/>
    <w:basedOn w:val="Normale"/>
    <w:qFormat/>
    <w:pPr>
      <w:tabs>
        <w:tab w:val="left" w:pos="360"/>
      </w:tabs>
      <w:jc w:val="center"/>
    </w:pPr>
    <w:rPr>
      <w:b/>
      <w:bCs/>
      <w:sz w:val="36"/>
      <w:u w:val="single"/>
    </w:rPr>
  </w:style>
  <w:style w:type="paragraph" w:styleId="Corpodeltesto">
    <w:name w:val="Corpo del testo"/>
    <w:basedOn w:val="Normale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corso: </vt:lpstr>
    </vt:vector>
  </TitlesOfParts>
  <Company>Impresa Giuliano Roversi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corso:</dc:title>
  <dc:subject/>
  <dc:creator>Giacomo Roversi</dc:creator>
  <cp:keywords/>
  <dc:description/>
  <cp:lastModifiedBy>Marco</cp:lastModifiedBy>
  <cp:revision>2</cp:revision>
  <cp:lastPrinted>2015-09-16T15:32:00Z</cp:lastPrinted>
  <dcterms:created xsi:type="dcterms:W3CDTF">2024-05-07T16:08:00Z</dcterms:created>
  <dcterms:modified xsi:type="dcterms:W3CDTF">2024-05-07T16:08:00Z</dcterms:modified>
</cp:coreProperties>
</file>