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2"/>
      </w:tblGrid>
      <w:tr w:rsidR="008D2D36" w14:paraId="2A101D98" w14:textId="77777777">
        <w:tblPrEx>
          <w:tblCellMar>
            <w:top w:w="0" w:type="dxa"/>
            <w:bottom w:w="0" w:type="dxa"/>
          </w:tblCellMar>
        </w:tblPrEx>
        <w:trPr>
          <w:trHeight w:val="2104"/>
        </w:trPr>
        <w:tc>
          <w:tcPr>
            <w:tcW w:w="97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29458D" w14:textId="77777777" w:rsidR="008D2D36" w:rsidRDefault="008D2D36">
            <w:pPr>
              <w:pStyle w:val="Rientrocorpodeltesto"/>
              <w:rPr>
                <w:rFonts w:ascii="Times New Roman" w:hAnsi="Times New Roman"/>
              </w:rPr>
            </w:pPr>
          </w:p>
          <w:p w14:paraId="5A5E0937" w14:textId="77777777" w:rsidR="008D2D36" w:rsidRDefault="008D2D36">
            <w:pPr>
              <w:pStyle w:val="Titolo1"/>
              <w:spacing w:before="200"/>
              <w:ind w:left="1730" w:right="200" w:hanging="1730"/>
              <w:jc w:val="both"/>
              <w:rPr>
                <w:b w:val="0"/>
                <w:bCs/>
                <w:sz w:val="32"/>
              </w:rPr>
            </w:pPr>
            <w:r>
              <w:rPr>
                <w:b w:val="0"/>
                <w:bCs/>
              </w:rPr>
              <w:t>Lavorazione tipo:</w:t>
            </w:r>
            <w:r>
              <w:t xml:space="preserve"> </w:t>
            </w:r>
            <w:r>
              <w:rPr>
                <w:sz w:val="32"/>
              </w:rPr>
              <w:t>CONSOLIDAMENTO DI MURATURE MEDIANTE INTONACI ARMATI COLLABORANTI A SANDWICH</w:t>
            </w:r>
          </w:p>
          <w:p w14:paraId="64945866" w14:textId="77777777" w:rsidR="008D2D36" w:rsidRDefault="008D2D36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</w:tbl>
    <w:p w14:paraId="474C1035" w14:textId="77777777" w:rsidR="008D2D36" w:rsidRDefault="008D2D36">
      <w:pPr>
        <w:pStyle w:val="testoparagrafo"/>
        <w:spacing w:before="0" w:beforeAutospacing="0" w:after="0" w:afterAutospacing="0"/>
        <w:ind w:left="200" w:right="200"/>
      </w:pPr>
    </w:p>
    <w:p w14:paraId="4C169FBD" w14:textId="77777777" w:rsidR="008D2D36" w:rsidRDefault="008D2D36">
      <w:pPr>
        <w:pStyle w:val="testoparagrafo"/>
        <w:spacing w:before="0" w:beforeAutospacing="0" w:after="0" w:afterAutospacing="0" w:line="360" w:lineRule="auto"/>
        <w:ind w:right="9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Eliminazione del vecchio intonaco e di tutte le parti inconsistenti o mosse.</w:t>
      </w:r>
    </w:p>
    <w:p w14:paraId="1AFAF160" w14:textId="77777777" w:rsidR="008D2D36" w:rsidRDefault="008D2D36">
      <w:pPr>
        <w:pStyle w:val="testoparagrafo"/>
        <w:spacing w:before="0" w:beforeAutospacing="0" w:after="0" w:afterAutospacing="0" w:line="360" w:lineRule="auto"/>
        <w:ind w:right="9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Accurata scarnitura dei giunti di malta con eliminazione di tutti i materiali friabili e poco consistenti.</w:t>
      </w:r>
    </w:p>
    <w:p w14:paraId="280AAFF1" w14:textId="77777777" w:rsidR="008D2D36" w:rsidRDefault="008D2D36">
      <w:pPr>
        <w:pStyle w:val="testoparagrafo"/>
        <w:spacing w:before="0" w:beforeAutospacing="0" w:after="0" w:afterAutospacing="0" w:line="360" w:lineRule="auto"/>
        <w:ind w:right="9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Lavaggio con acqua in pressione di tutte le superfici oggetto dell'intervento.</w:t>
      </w:r>
    </w:p>
    <w:p w14:paraId="3D0C6FA4" w14:textId="77777777" w:rsidR="008D2D36" w:rsidRDefault="008D2D36">
      <w:pPr>
        <w:spacing w:line="360" w:lineRule="auto"/>
        <w:ind w:right="98"/>
      </w:pPr>
    </w:p>
    <w:p w14:paraId="2123BE2C" w14:textId="77777777" w:rsidR="008D2D36" w:rsidRDefault="008D2D36">
      <w:pPr>
        <w:pStyle w:val="testoparagrafo"/>
        <w:spacing w:before="0" w:beforeAutospacing="0" w:after="0" w:afterAutospacing="0" w:line="360" w:lineRule="auto"/>
        <w:ind w:right="9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Applicazione su entrambi i lati della muratura, di rete elettrosaldata (maglia 10x10 tondino da 6 mm) fissata alla muratura con tondini da 8 mm ancorati al supporto con legante idraulico ad espansione controllata pronta all'uso, esente da cloruri, particelle ferrose ed agenti aggressivi che possano provocare il degrado delle armature metalliche.</w:t>
      </w:r>
    </w:p>
    <w:p w14:paraId="73435E6B" w14:textId="77777777" w:rsidR="008D2D36" w:rsidRDefault="008D2D36">
      <w:pPr>
        <w:pStyle w:val="testoparagrafo"/>
        <w:spacing w:before="0" w:beforeAutospacing="0" w:after="0" w:afterAutospacing="0" w:line="360" w:lineRule="auto"/>
        <w:ind w:right="9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legante idraulico avrà le seguenti certificazioni:</w:t>
      </w:r>
    </w:p>
    <w:p w14:paraId="7A8A372A" w14:textId="77777777" w:rsidR="008D2D36" w:rsidRDefault="008D2D36">
      <w:pPr>
        <w:pStyle w:val="testoparagrafo"/>
        <w:spacing w:before="0" w:beforeAutospacing="0" w:after="0" w:afterAutospacing="0" w:line="360" w:lineRule="auto"/>
        <w:ind w:right="98"/>
        <w:rPr>
          <w:rFonts w:ascii="Times New Roman" w:hAnsi="Times New Roman" w:cs="Times New Roman"/>
          <w:sz w:val="24"/>
        </w:rPr>
      </w:pPr>
    </w:p>
    <w:tbl>
      <w:tblPr>
        <w:tblW w:w="8000" w:type="dxa"/>
        <w:jc w:val="center"/>
        <w:tblCellSpacing w:w="15" w:type="dxa"/>
        <w:tblBorders>
          <w:top w:val="single" w:sz="8" w:space="0" w:color="000066"/>
          <w:left w:val="single" w:sz="8" w:space="0" w:color="000066"/>
          <w:bottom w:val="single" w:sz="8" w:space="0" w:color="000066"/>
          <w:right w:val="single" w:sz="8" w:space="0" w:color="000066"/>
        </w:tblBorders>
        <w:tblCellMar>
          <w:top w:w="40" w:type="dxa"/>
          <w:left w:w="80" w:type="dxa"/>
          <w:bottom w:w="40" w:type="dxa"/>
          <w:right w:w="80" w:type="dxa"/>
        </w:tblCellMar>
        <w:tblLook w:val="0000" w:firstRow="0" w:lastRow="0" w:firstColumn="0" w:lastColumn="0" w:noHBand="0" w:noVBand="0"/>
      </w:tblPr>
      <w:tblGrid>
        <w:gridCol w:w="4000"/>
        <w:gridCol w:w="4000"/>
      </w:tblGrid>
      <w:tr w:rsidR="008D2D36" w14:paraId="32CB1EA2" w14:textId="77777777">
        <w:trPr>
          <w:tblCellSpacing w:w="15" w:type="dxa"/>
          <w:jc w:val="center"/>
        </w:trPr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23732FAF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Resistenza a compressione UNI EN 12190</w:t>
            </w:r>
          </w:p>
        </w:tc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14F915EF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 gg &gt; 23 </w:t>
            </w:r>
            <w:proofErr w:type="spellStart"/>
            <w:r>
              <w:rPr>
                <w:color w:val="000000"/>
                <w:szCs w:val="20"/>
              </w:rPr>
              <w:t>MPa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br/>
              <w:t xml:space="preserve">7 gg &gt; 58 </w:t>
            </w:r>
            <w:proofErr w:type="spellStart"/>
            <w:r>
              <w:rPr>
                <w:color w:val="000000"/>
                <w:szCs w:val="20"/>
              </w:rPr>
              <w:t>MPa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br/>
              <w:t xml:space="preserve">28 gg &gt; 81 </w:t>
            </w:r>
            <w:proofErr w:type="spellStart"/>
            <w:r>
              <w:rPr>
                <w:color w:val="000000"/>
                <w:szCs w:val="20"/>
              </w:rPr>
              <w:t>MPa</w:t>
            </w:r>
            <w:proofErr w:type="spellEnd"/>
          </w:p>
        </w:tc>
      </w:tr>
      <w:tr w:rsidR="008D2D36" w14:paraId="3E383C0F" w14:textId="77777777">
        <w:trPr>
          <w:tblCellSpacing w:w="15" w:type="dxa"/>
          <w:jc w:val="center"/>
        </w:trPr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3562F828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Resistenza a flessione UNI EN 12190</w:t>
            </w:r>
          </w:p>
        </w:tc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30D6DF10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1gg: &gt; 3 </w:t>
            </w:r>
            <w:proofErr w:type="spellStart"/>
            <w:r>
              <w:rPr>
                <w:color w:val="000000"/>
                <w:szCs w:val="20"/>
              </w:rPr>
              <w:t>MPa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br/>
              <w:t xml:space="preserve">7 gg: &gt; 4 </w:t>
            </w:r>
            <w:proofErr w:type="spellStart"/>
            <w:r>
              <w:rPr>
                <w:color w:val="000000"/>
                <w:szCs w:val="20"/>
              </w:rPr>
              <w:t>MPa</w:t>
            </w:r>
            <w:proofErr w:type="spellEnd"/>
            <w:r>
              <w:rPr>
                <w:color w:val="000000"/>
                <w:szCs w:val="20"/>
              </w:rPr>
              <w:br/>
              <w:t xml:space="preserve">28 gg &gt; 5,5 </w:t>
            </w:r>
            <w:proofErr w:type="spellStart"/>
            <w:r>
              <w:rPr>
                <w:color w:val="000000"/>
                <w:szCs w:val="20"/>
              </w:rPr>
              <w:t>MPa</w:t>
            </w:r>
            <w:proofErr w:type="spellEnd"/>
          </w:p>
        </w:tc>
      </w:tr>
      <w:tr w:rsidR="008D2D36" w14:paraId="22C26F05" w14:textId="77777777">
        <w:trPr>
          <w:tblCellSpacing w:w="15" w:type="dxa"/>
          <w:jc w:val="center"/>
        </w:trPr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0E64DDB9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Espansione contrastata UNI 8147</w:t>
            </w:r>
          </w:p>
        </w:tc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4E9AC69E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0,075%</w:t>
            </w:r>
          </w:p>
        </w:tc>
      </w:tr>
      <w:tr w:rsidR="008D2D36" w14:paraId="5B1A2CF6" w14:textId="77777777">
        <w:trPr>
          <w:tblCellSpacing w:w="15" w:type="dxa"/>
          <w:jc w:val="center"/>
        </w:trPr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1829E192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Prova di adesione</w:t>
            </w:r>
          </w:p>
        </w:tc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19BF4DD9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5,8 N/mm²</w:t>
            </w:r>
          </w:p>
        </w:tc>
      </w:tr>
      <w:tr w:rsidR="008D2D36" w14:paraId="2D08BE62" w14:textId="77777777">
        <w:trPr>
          <w:tblCellSpacing w:w="15" w:type="dxa"/>
          <w:jc w:val="center"/>
        </w:trPr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163BBCE0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Prova di sfilamento (Pull-Out) di barra da 16 mm</w:t>
            </w:r>
          </w:p>
        </w:tc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0CC9993F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106930 N</w:t>
            </w:r>
          </w:p>
        </w:tc>
      </w:tr>
    </w:tbl>
    <w:p w14:paraId="437C8DCB" w14:textId="77777777" w:rsidR="008D2D36" w:rsidRDefault="008D2D36">
      <w:pPr>
        <w:ind w:right="98"/>
      </w:pPr>
    </w:p>
    <w:p w14:paraId="1C587692" w14:textId="77777777" w:rsidR="008D2D36" w:rsidRDefault="008D2D36">
      <w:pPr>
        <w:pStyle w:val="testoparagrafo"/>
        <w:spacing w:before="0" w:beforeAutospacing="0" w:after="0" w:afterAutospacing="0" w:line="360" w:lineRule="auto"/>
        <w:ind w:right="9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Bagnatura delle superfici e posa in opera di </w:t>
      </w:r>
      <w:proofErr w:type="spellStart"/>
      <w:r>
        <w:rPr>
          <w:rFonts w:ascii="Times New Roman" w:hAnsi="Times New Roman" w:cs="Times New Roman"/>
          <w:sz w:val="24"/>
        </w:rPr>
        <w:t>di</w:t>
      </w:r>
      <w:proofErr w:type="spellEnd"/>
      <w:r>
        <w:rPr>
          <w:rFonts w:ascii="Times New Roman" w:hAnsi="Times New Roman" w:cs="Times New Roman"/>
          <w:sz w:val="24"/>
        </w:rPr>
        <w:t xml:space="preserve"> malta idraulica antiritiro ad effetto tissotropico addizionata con fibre sintetiche e pronta all'uso, esente da cloruri e con alta resistenza ai solfati. Si realizzerà uno spessore non inferiore a 3 cm. con un consumo di materiale non inferiore a 54 kg/m².</w:t>
      </w:r>
    </w:p>
    <w:p w14:paraId="08C98001" w14:textId="77777777" w:rsidR="008D2D36" w:rsidRDefault="008D2D36">
      <w:pPr>
        <w:pStyle w:val="testoparagrafo"/>
        <w:spacing w:before="0" w:beforeAutospacing="0" w:after="0" w:afterAutospacing="0" w:line="360" w:lineRule="auto"/>
        <w:ind w:right="9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malta antiritiro avrà le seguenti certificazioni:</w:t>
      </w:r>
    </w:p>
    <w:tbl>
      <w:tblPr>
        <w:tblW w:w="8000" w:type="dxa"/>
        <w:jc w:val="center"/>
        <w:tblCellSpacing w:w="15" w:type="dxa"/>
        <w:tblBorders>
          <w:top w:val="single" w:sz="8" w:space="0" w:color="000066"/>
          <w:left w:val="single" w:sz="8" w:space="0" w:color="000066"/>
          <w:bottom w:val="single" w:sz="8" w:space="0" w:color="000066"/>
          <w:right w:val="single" w:sz="8" w:space="0" w:color="000066"/>
        </w:tblBorders>
        <w:tblCellMar>
          <w:top w:w="40" w:type="dxa"/>
          <w:left w:w="80" w:type="dxa"/>
          <w:bottom w:w="40" w:type="dxa"/>
          <w:right w:w="80" w:type="dxa"/>
        </w:tblCellMar>
        <w:tblLook w:val="0000" w:firstRow="0" w:lastRow="0" w:firstColumn="0" w:lastColumn="0" w:noHBand="0" w:noVBand="0"/>
      </w:tblPr>
      <w:tblGrid>
        <w:gridCol w:w="4000"/>
        <w:gridCol w:w="4000"/>
      </w:tblGrid>
      <w:tr w:rsidR="008D2D36" w14:paraId="4807FCAD" w14:textId="77777777">
        <w:trPr>
          <w:tblCellSpacing w:w="15" w:type="dxa"/>
          <w:jc w:val="center"/>
        </w:trPr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35406C59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Modulo elastico secante a compressione</w:t>
            </w:r>
            <w:r>
              <w:rPr>
                <w:color w:val="000000"/>
                <w:szCs w:val="20"/>
              </w:rPr>
              <w:br/>
              <w:t>a 28 gg UNI 6556</w:t>
            </w:r>
          </w:p>
        </w:tc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03895ED6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22000 ± 1000 </w:t>
            </w:r>
            <w:proofErr w:type="spellStart"/>
            <w:r>
              <w:rPr>
                <w:color w:val="000000"/>
                <w:szCs w:val="20"/>
              </w:rPr>
              <w:t>MPa</w:t>
            </w:r>
            <w:proofErr w:type="spellEnd"/>
          </w:p>
        </w:tc>
      </w:tr>
      <w:tr w:rsidR="008D2D36" w14:paraId="6DB59316" w14:textId="77777777">
        <w:trPr>
          <w:tblCellSpacing w:w="15" w:type="dxa"/>
          <w:jc w:val="center"/>
        </w:trPr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757556E1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Resistenza a compressione UNI EN 12190</w:t>
            </w:r>
          </w:p>
        </w:tc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3192F45E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 gg: &gt; 20 </w:t>
            </w:r>
            <w:proofErr w:type="spellStart"/>
            <w:r>
              <w:rPr>
                <w:color w:val="000000"/>
                <w:szCs w:val="20"/>
              </w:rPr>
              <w:t>MPa</w:t>
            </w:r>
            <w:proofErr w:type="spellEnd"/>
            <w:r>
              <w:rPr>
                <w:color w:val="000000"/>
                <w:szCs w:val="20"/>
              </w:rPr>
              <w:br/>
              <w:t xml:space="preserve">7 gg: &gt; 51 </w:t>
            </w:r>
            <w:proofErr w:type="spellStart"/>
            <w:r>
              <w:rPr>
                <w:color w:val="000000"/>
                <w:szCs w:val="20"/>
              </w:rPr>
              <w:t>MPa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br/>
              <w:t xml:space="preserve">28 gg: &gt; 60 </w:t>
            </w:r>
            <w:proofErr w:type="spellStart"/>
            <w:r>
              <w:rPr>
                <w:color w:val="000000"/>
                <w:szCs w:val="20"/>
              </w:rPr>
              <w:t>MPa</w:t>
            </w:r>
            <w:proofErr w:type="spellEnd"/>
          </w:p>
        </w:tc>
      </w:tr>
      <w:tr w:rsidR="008D2D36" w14:paraId="044FC4DB" w14:textId="77777777">
        <w:trPr>
          <w:tblCellSpacing w:w="15" w:type="dxa"/>
          <w:jc w:val="center"/>
        </w:trPr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69D8A422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Espansione contrastata UNI 8147</w:t>
            </w:r>
          </w:p>
        </w:tc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371D90FB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0,06%</w:t>
            </w:r>
          </w:p>
        </w:tc>
      </w:tr>
      <w:tr w:rsidR="008D2D36" w14:paraId="3185B8D7" w14:textId="77777777">
        <w:trPr>
          <w:tblCellSpacing w:w="15" w:type="dxa"/>
          <w:jc w:val="center"/>
        </w:trPr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033FA69B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Adesione al CLS a 28 gg</w:t>
            </w:r>
          </w:p>
        </w:tc>
        <w:tc>
          <w:tcPr>
            <w:tcW w:w="2500" w:type="pc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FFF"/>
            <w:vAlign w:val="center"/>
          </w:tcPr>
          <w:p w14:paraId="3BE73FC2" w14:textId="77777777" w:rsidR="008D2D36" w:rsidRDefault="008D2D36">
            <w:pPr>
              <w:ind w:right="98"/>
              <w:rPr>
                <w:rFonts w:eastAsia="Arial Unicode MS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6,2 N/mm²</w:t>
            </w:r>
          </w:p>
        </w:tc>
      </w:tr>
    </w:tbl>
    <w:p w14:paraId="7210E5E5" w14:textId="77777777" w:rsidR="008D2D36" w:rsidRDefault="008D2D36">
      <w:pPr>
        <w:ind w:right="98"/>
      </w:pPr>
    </w:p>
    <w:p w14:paraId="0D508193" w14:textId="77777777" w:rsidR="008D2D36" w:rsidRDefault="008D2D36">
      <w:pPr>
        <w:pStyle w:val="testoparagrafo"/>
        <w:spacing w:before="0" w:beforeAutospacing="0" w:after="0" w:afterAutospacing="0" w:line="360" w:lineRule="auto"/>
        <w:ind w:right="9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caratteristiche dei prodotti sopra indicate saranno verificate, per quanto riguarda il numero ed il tipo, a discrezione della D.L. in corso d'opera da laboratori autorizzati.</w:t>
      </w:r>
    </w:p>
    <w:p w14:paraId="64878FC9" w14:textId="77777777" w:rsidR="008D2D36" w:rsidRDefault="008D2D36">
      <w:pPr>
        <w:spacing w:line="360" w:lineRule="auto"/>
        <w:ind w:right="98"/>
      </w:pPr>
    </w:p>
    <w:p w14:paraId="6CB48E13" w14:textId="77777777" w:rsidR="002C69E2" w:rsidRDefault="002C69E2">
      <w:pPr>
        <w:pStyle w:val="Pidipagina"/>
        <w:tabs>
          <w:tab w:val="clear" w:pos="4819"/>
          <w:tab w:val="clear" w:pos="9638"/>
        </w:tabs>
        <w:spacing w:line="360" w:lineRule="auto"/>
        <w:ind w:right="98"/>
      </w:pPr>
    </w:p>
    <w:p w14:paraId="3FD6DDE9" w14:textId="12DABDEB" w:rsidR="008D2D36" w:rsidRDefault="008D2D36">
      <w:pPr>
        <w:pStyle w:val="Pidipagina"/>
        <w:tabs>
          <w:tab w:val="clear" w:pos="4819"/>
          <w:tab w:val="clear" w:pos="9638"/>
        </w:tabs>
        <w:spacing w:line="360" w:lineRule="auto"/>
        <w:ind w:right="98"/>
      </w:pPr>
      <w:r>
        <w:t>Firma per approvazione (Alta Direzione</w:t>
      </w:r>
      <w:proofErr w:type="gramStart"/>
      <w:r>
        <w:t xml:space="preserve">):   </w:t>
      </w:r>
      <w:proofErr w:type="gramEnd"/>
      <w:r>
        <w:t>......................................................................…………...</w:t>
      </w:r>
      <w:r>
        <w:tab/>
      </w:r>
      <w:r>
        <w:tab/>
      </w:r>
    </w:p>
    <w:sectPr w:rsidR="008D2D36">
      <w:headerReference w:type="default" r:id="rId7"/>
      <w:pgSz w:w="11906" w:h="16838"/>
      <w:pgMar w:top="1417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B2FEE" w14:textId="77777777" w:rsidR="00DC2862" w:rsidRDefault="00DC2862" w:rsidP="008D2D36">
      <w:r>
        <w:separator/>
      </w:r>
    </w:p>
  </w:endnote>
  <w:endnote w:type="continuationSeparator" w:id="0">
    <w:p w14:paraId="6A945D1C" w14:textId="77777777" w:rsidR="00DC2862" w:rsidRDefault="00DC2862" w:rsidP="008D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766 BT">
    <w:altName w:val="Cambria"/>
    <w:charset w:val="00"/>
    <w:family w:val="roman"/>
    <w:pitch w:val="variable"/>
    <w:sig w:usb0="00000001" w:usb1="00000000" w:usb2="00000000" w:usb3="00000000" w:csb0="0000001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C6216" w14:textId="77777777" w:rsidR="00DC2862" w:rsidRDefault="00DC2862" w:rsidP="008D2D36">
      <w:r>
        <w:separator/>
      </w:r>
    </w:p>
  </w:footnote>
  <w:footnote w:type="continuationSeparator" w:id="0">
    <w:p w14:paraId="321A1B11" w14:textId="77777777" w:rsidR="00DC2862" w:rsidRDefault="00DC2862" w:rsidP="008D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0"/>
      <w:gridCol w:w="1975"/>
      <w:gridCol w:w="1808"/>
      <w:gridCol w:w="3057"/>
    </w:tblGrid>
    <w:tr w:rsidR="002C69E2" w14:paraId="4EE26353" w14:textId="77777777">
      <w:tblPrEx>
        <w:tblCellMar>
          <w:top w:w="0" w:type="dxa"/>
          <w:bottom w:w="0" w:type="dxa"/>
        </w:tblCellMar>
      </w:tblPrEx>
      <w:trPr>
        <w:cantSplit/>
        <w:trHeight w:val="1270"/>
      </w:trPr>
      <w:tc>
        <w:tcPr>
          <w:tcW w:w="2950" w:type="dxa"/>
          <w:tcBorders>
            <w:top w:val="double" w:sz="4" w:space="0" w:color="auto"/>
            <w:left w:val="double" w:sz="4" w:space="0" w:color="auto"/>
            <w:bottom w:val="single" w:sz="6" w:space="0" w:color="auto"/>
          </w:tcBorders>
          <w:shd w:val="clear" w:color="auto" w:fill="D9D9D9"/>
          <w:vAlign w:val="center"/>
        </w:tcPr>
        <w:p w14:paraId="6AB385D6" w14:textId="68E0CB0E" w:rsidR="002C69E2" w:rsidRDefault="002C69E2" w:rsidP="002C69E2">
          <w:pPr>
            <w:jc w:val="center"/>
            <w:rPr>
              <w:rFonts w:ascii="Arial" w:hAnsi="Arial" w:cs="Arial"/>
              <w:b/>
              <w:color w:val="800000"/>
            </w:rPr>
          </w:pPr>
          <w:r w:rsidRPr="00941B25">
            <w:rPr>
              <w:rFonts w:ascii="Arial" w:hAnsi="Arial" w:cs="Arial"/>
              <w:color w:val="800000"/>
              <w:szCs w:val="20"/>
            </w:rPr>
            <w:t>Pangea s.r.l.</w:t>
          </w:r>
        </w:p>
      </w:tc>
      <w:tc>
        <w:tcPr>
          <w:tcW w:w="3783" w:type="dxa"/>
          <w:gridSpan w:val="2"/>
          <w:tcBorders>
            <w:top w:val="double" w:sz="4" w:space="0" w:color="auto"/>
            <w:bottom w:val="single" w:sz="6" w:space="0" w:color="auto"/>
          </w:tcBorders>
          <w:shd w:val="clear" w:color="auto" w:fill="E6E6E6"/>
          <w:vAlign w:val="center"/>
        </w:tcPr>
        <w:p w14:paraId="042255C3" w14:textId="77777777" w:rsidR="002C69E2" w:rsidRDefault="002C69E2" w:rsidP="002C69E2">
          <w:pPr>
            <w:pStyle w:val="Titolo2"/>
            <w:rPr>
              <w:rFonts w:ascii="Arial" w:hAnsi="Arial" w:cs="Arial"/>
              <w:color w:val="800000"/>
              <w:sz w:val="36"/>
            </w:rPr>
          </w:pPr>
          <w:r>
            <w:rPr>
              <w:rFonts w:ascii="Arial" w:hAnsi="Arial" w:cs="Arial"/>
              <w:color w:val="800000"/>
              <w:sz w:val="24"/>
            </w:rPr>
            <w:t>Scheda lavorazioni</w:t>
          </w:r>
        </w:p>
      </w:tc>
      <w:tc>
        <w:tcPr>
          <w:tcW w:w="3057" w:type="dxa"/>
          <w:tcBorders>
            <w:top w:val="double" w:sz="4" w:space="0" w:color="auto"/>
            <w:bottom w:val="single" w:sz="6" w:space="0" w:color="auto"/>
            <w:right w:val="double" w:sz="4" w:space="0" w:color="auto"/>
          </w:tcBorders>
          <w:shd w:val="clear" w:color="auto" w:fill="E6E6E6"/>
          <w:vAlign w:val="center"/>
        </w:tcPr>
        <w:p w14:paraId="3440C659" w14:textId="77777777" w:rsidR="002C69E2" w:rsidRDefault="002C69E2" w:rsidP="002C69E2">
          <w:pPr>
            <w:jc w:val="right"/>
            <w:rPr>
              <w:color w:val="800000"/>
              <w:sz w:val="22"/>
            </w:rPr>
          </w:pPr>
        </w:p>
        <w:p w14:paraId="34061A20" w14:textId="77777777" w:rsidR="002C69E2" w:rsidRDefault="002C69E2" w:rsidP="002C69E2">
          <w:pPr>
            <w:jc w:val="right"/>
            <w:rPr>
              <w:rFonts w:ascii="Arial" w:hAnsi="Arial" w:cs="Arial"/>
              <w:color w:val="800000"/>
              <w:sz w:val="22"/>
            </w:rPr>
          </w:pPr>
          <w:r>
            <w:rPr>
              <w:rFonts w:ascii="Arial" w:hAnsi="Arial" w:cs="Arial"/>
              <w:color w:val="800000"/>
              <w:sz w:val="22"/>
            </w:rPr>
            <w:t xml:space="preserve">Rif. </w:t>
          </w:r>
          <w:r>
            <w:rPr>
              <w:rFonts w:ascii="Arial" w:hAnsi="Arial" w:cs="Arial"/>
              <w:b/>
              <w:bCs/>
              <w:color w:val="800000"/>
              <w:sz w:val="22"/>
            </w:rPr>
            <w:t>IDL 7-1 LL</w:t>
          </w:r>
        </w:p>
        <w:p w14:paraId="692516A3" w14:textId="77777777" w:rsidR="002C69E2" w:rsidRDefault="002C69E2" w:rsidP="002C69E2">
          <w:pPr>
            <w:jc w:val="right"/>
            <w:rPr>
              <w:rFonts w:ascii="Arial" w:hAnsi="Arial" w:cs="Arial"/>
              <w:color w:val="800000"/>
              <w:sz w:val="22"/>
              <w:lang w:val="en-GB"/>
            </w:rPr>
          </w:pPr>
          <w:r>
            <w:rPr>
              <w:rFonts w:ascii="Arial" w:hAnsi="Arial" w:cs="Arial"/>
              <w:color w:val="800000"/>
              <w:sz w:val="22"/>
              <w:lang w:val="en-GB"/>
            </w:rPr>
            <w:t xml:space="preserve">Ed. </w:t>
          </w:r>
          <w:r>
            <w:rPr>
              <w:rFonts w:ascii="Arial" w:hAnsi="Arial" w:cs="Arial"/>
              <w:b/>
              <w:bCs/>
              <w:color w:val="800000"/>
              <w:sz w:val="22"/>
              <w:lang w:val="en-GB"/>
            </w:rPr>
            <w:t xml:space="preserve">1 </w:t>
          </w:r>
          <w:r>
            <w:rPr>
              <w:rFonts w:ascii="Arial" w:hAnsi="Arial" w:cs="Arial"/>
              <w:color w:val="800000"/>
              <w:sz w:val="22"/>
              <w:lang w:val="en-GB"/>
            </w:rPr>
            <w:t xml:space="preserve">Rev. </w:t>
          </w:r>
          <w:r>
            <w:rPr>
              <w:rFonts w:ascii="Arial" w:hAnsi="Arial" w:cs="Arial"/>
              <w:b/>
              <w:bCs/>
              <w:color w:val="800000"/>
              <w:sz w:val="22"/>
              <w:lang w:val="en-GB"/>
            </w:rPr>
            <w:t>0</w:t>
          </w:r>
          <w:r>
            <w:rPr>
              <w:rFonts w:ascii="Arial" w:hAnsi="Arial" w:cs="Arial"/>
              <w:color w:val="800000"/>
              <w:sz w:val="22"/>
              <w:lang w:val="en-GB"/>
            </w:rPr>
            <w:t xml:space="preserve"> </w:t>
          </w:r>
        </w:p>
      </w:tc>
    </w:tr>
    <w:tr w:rsidR="002C69E2" w14:paraId="6D8416CA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4925" w:type="dxa"/>
          <w:gridSpan w:val="2"/>
          <w:tcBorders>
            <w:top w:val="single" w:sz="6" w:space="0" w:color="auto"/>
            <w:left w:val="double" w:sz="4" w:space="0" w:color="auto"/>
            <w:bottom w:val="double" w:sz="4" w:space="0" w:color="auto"/>
            <w:right w:val="nil"/>
          </w:tcBorders>
          <w:shd w:val="clear" w:color="auto" w:fill="E6E6E6"/>
        </w:tcPr>
        <w:p w14:paraId="5E094782" w14:textId="77777777" w:rsidR="002C69E2" w:rsidRDefault="002C69E2" w:rsidP="002C69E2">
          <w:pPr>
            <w:pStyle w:val="Titolo5"/>
            <w:rPr>
              <w:rFonts w:ascii="Times New Roman" w:hAnsi="Times New Roman" w:cs="Times New Roman"/>
              <w:color w:val="800000"/>
              <w:sz w:val="22"/>
            </w:rPr>
          </w:pPr>
          <w:r>
            <w:rPr>
              <w:rFonts w:ascii="Times New Roman" w:hAnsi="Times New Roman" w:cs="Times New Roman"/>
              <w:color w:val="800000"/>
            </w:rPr>
            <w:t>Sezione sette</w:t>
          </w:r>
        </w:p>
      </w:tc>
      <w:tc>
        <w:tcPr>
          <w:tcW w:w="4865" w:type="dxa"/>
          <w:gridSpan w:val="2"/>
          <w:tcBorders>
            <w:top w:val="single" w:sz="6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E6E6E6"/>
        </w:tcPr>
        <w:p w14:paraId="250936B2" w14:textId="77777777" w:rsidR="002C69E2" w:rsidRDefault="002C69E2" w:rsidP="002C69E2">
          <w:pPr>
            <w:pStyle w:val="Titolo5"/>
            <w:jc w:val="right"/>
            <w:rPr>
              <w:rFonts w:ascii="Times New Roman" w:hAnsi="Times New Roman" w:cs="Times New Roman"/>
              <w:color w:val="800000"/>
            </w:rPr>
          </w:pPr>
          <w:r>
            <w:rPr>
              <w:rFonts w:ascii="Times New Roman" w:hAnsi="Times New Roman" w:cs="Times New Roman"/>
              <w:color w:val="800000"/>
            </w:rPr>
            <w:t xml:space="preserve">Pagina </w:t>
          </w:r>
          <w:r>
            <w:rPr>
              <w:rFonts w:ascii="Century Gothic" w:hAnsi="Century Gothic" w:cs="Times New Roman"/>
              <w:color w:val="800000"/>
            </w:rPr>
            <w:fldChar w:fldCharType="begin"/>
          </w:r>
          <w:r>
            <w:rPr>
              <w:rFonts w:ascii="Century Gothic" w:hAnsi="Century Gothic" w:cs="Times New Roman"/>
              <w:color w:val="800000"/>
            </w:rPr>
            <w:instrText xml:space="preserve"> PAGE </w:instrText>
          </w:r>
          <w:r>
            <w:rPr>
              <w:rFonts w:ascii="Century Gothic" w:hAnsi="Century Gothic" w:cs="Times New Roman"/>
              <w:color w:val="800000"/>
            </w:rPr>
            <w:fldChar w:fldCharType="separate"/>
          </w:r>
          <w:r>
            <w:rPr>
              <w:rFonts w:ascii="Century Gothic" w:hAnsi="Century Gothic" w:cs="Times New Roman"/>
              <w:noProof/>
              <w:color w:val="800000"/>
            </w:rPr>
            <w:t>2</w:t>
          </w:r>
          <w:r>
            <w:rPr>
              <w:rFonts w:ascii="Century Gothic" w:hAnsi="Century Gothic" w:cs="Times New Roman"/>
              <w:color w:val="800000"/>
            </w:rPr>
            <w:fldChar w:fldCharType="end"/>
          </w:r>
          <w:r>
            <w:rPr>
              <w:rFonts w:ascii="Times New Roman" w:hAnsi="Times New Roman" w:cs="Times New Roman"/>
              <w:color w:val="800000"/>
            </w:rPr>
            <w:t xml:space="preserve"> di </w:t>
          </w:r>
          <w:r>
            <w:rPr>
              <w:rFonts w:ascii="Times New Roman" w:hAnsi="Times New Roman" w:cs="Times New Roman"/>
              <w:color w:val="800000"/>
            </w:rPr>
            <w:fldChar w:fldCharType="begin"/>
          </w:r>
          <w:r>
            <w:rPr>
              <w:rFonts w:ascii="Times New Roman" w:hAnsi="Times New Roman" w:cs="Times New Roman"/>
              <w:color w:val="800000"/>
            </w:rPr>
            <w:instrText xml:space="preserve"> NUMPAGES </w:instrText>
          </w:r>
          <w:r>
            <w:rPr>
              <w:rFonts w:ascii="Times New Roman" w:hAnsi="Times New Roman" w:cs="Times New Roman"/>
              <w:color w:val="800000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800000"/>
            </w:rPr>
            <w:t>3</w:t>
          </w:r>
          <w:r>
            <w:rPr>
              <w:rFonts w:ascii="Times New Roman" w:hAnsi="Times New Roman" w:cs="Times New Roman"/>
              <w:color w:val="800000"/>
            </w:rPr>
            <w:fldChar w:fldCharType="end"/>
          </w:r>
        </w:p>
      </w:tc>
    </w:tr>
  </w:tbl>
  <w:p w14:paraId="7F6B3233" w14:textId="77777777" w:rsidR="008D2D36" w:rsidRDefault="008D2D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762E"/>
    <w:multiLevelType w:val="hybridMultilevel"/>
    <w:tmpl w:val="A73063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E68E9"/>
    <w:multiLevelType w:val="hybridMultilevel"/>
    <w:tmpl w:val="405A4BC6"/>
    <w:lvl w:ilvl="0" w:tplc="4B50C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60DC"/>
    <w:multiLevelType w:val="hybridMultilevel"/>
    <w:tmpl w:val="C076EA1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D6082"/>
    <w:multiLevelType w:val="hybridMultilevel"/>
    <w:tmpl w:val="ED1616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468A6"/>
    <w:multiLevelType w:val="hybridMultilevel"/>
    <w:tmpl w:val="B29CA9C0"/>
    <w:lvl w:ilvl="0" w:tplc="FFECC4AC">
      <w:start w:val="3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452C6"/>
    <w:multiLevelType w:val="hybridMultilevel"/>
    <w:tmpl w:val="583A14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8096632">
    <w:abstractNumId w:val="4"/>
  </w:num>
  <w:num w:numId="2" w16cid:durableId="962270432">
    <w:abstractNumId w:val="1"/>
  </w:num>
  <w:num w:numId="3" w16cid:durableId="219290746">
    <w:abstractNumId w:val="3"/>
  </w:num>
  <w:num w:numId="4" w16cid:durableId="437723421">
    <w:abstractNumId w:val="2"/>
  </w:num>
  <w:num w:numId="5" w16cid:durableId="442960532">
    <w:abstractNumId w:val="5"/>
  </w:num>
  <w:num w:numId="6" w16cid:durableId="33522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B1"/>
    <w:rsid w:val="002C69E2"/>
    <w:rsid w:val="008D2D36"/>
    <w:rsid w:val="00DC2862"/>
    <w:rsid w:val="00F3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762CC"/>
  <w15:chartTrackingRefBased/>
  <w15:docId w15:val="{F667FB3A-A750-4D75-A49B-B9C75EDF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142"/>
    </w:pPr>
    <w:rPr>
      <w:rFonts w:ascii="Dutch766 BT" w:hAnsi="Dutch766 BT"/>
    </w:rPr>
  </w:style>
  <w:style w:type="paragraph" w:styleId="Titolo">
    <w:name w:val="Title"/>
    <w:basedOn w:val="Normale"/>
    <w:qFormat/>
    <w:pPr>
      <w:jc w:val="center"/>
    </w:pPr>
    <w:rPr>
      <w:b/>
      <w:bCs/>
      <w:sz w:val="36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Corpodeltesto">
    <w:name w:val="Corpo del testo"/>
    <w:basedOn w:val="Normale"/>
    <w:semiHidden/>
    <w:pPr>
      <w:spacing w:line="360" w:lineRule="auto"/>
      <w:jc w:val="both"/>
    </w:pPr>
  </w:style>
  <w:style w:type="paragraph" w:customStyle="1" w:styleId="testoparagrafo">
    <w:name w:val="testo_paragrafo"/>
    <w:basedOn w:val="Normal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20"/>
      <w:szCs w:val="20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customStyle="1" w:styleId="titoloparagrafo">
    <w:name w:val="titolo_paragrafo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corso: </vt:lpstr>
    </vt:vector>
  </TitlesOfParts>
  <Company>Impresa Giuliano Roversi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corso:</dc:title>
  <dc:subject/>
  <dc:creator>Giacomo Roversi</dc:creator>
  <cp:keywords/>
  <dc:description/>
  <cp:lastModifiedBy>Marco</cp:lastModifiedBy>
  <cp:revision>2</cp:revision>
  <cp:lastPrinted>2015-09-16T15:01:00Z</cp:lastPrinted>
  <dcterms:created xsi:type="dcterms:W3CDTF">2024-05-07T16:05:00Z</dcterms:created>
  <dcterms:modified xsi:type="dcterms:W3CDTF">2024-05-07T16:05:00Z</dcterms:modified>
</cp:coreProperties>
</file>