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D90FA" w14:textId="77777777" w:rsidR="00CA058E" w:rsidRDefault="00CA058E">
      <w:pPr>
        <w:ind w:left="142"/>
        <w:rPr>
          <w:rFonts w:ascii="Dutch766 BT" w:hAnsi="Dutch766 B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2"/>
      </w:tblGrid>
      <w:tr w:rsidR="00CA058E" w14:paraId="281F6ADB" w14:textId="77777777">
        <w:tblPrEx>
          <w:tblCellMar>
            <w:top w:w="0" w:type="dxa"/>
            <w:bottom w:w="0" w:type="dxa"/>
          </w:tblCellMar>
        </w:tblPrEx>
        <w:tc>
          <w:tcPr>
            <w:tcW w:w="9708" w:type="dxa"/>
            <w:tcBorders>
              <w:top w:val="double" w:sz="6" w:space="0" w:color="auto"/>
              <w:left w:val="double" w:sz="6" w:space="0" w:color="auto"/>
              <w:bottom w:val="double" w:sz="6" w:space="0" w:color="auto"/>
              <w:right w:val="double" w:sz="6" w:space="0" w:color="auto"/>
            </w:tcBorders>
          </w:tcPr>
          <w:p w14:paraId="1D768E20" w14:textId="77777777" w:rsidR="00CA058E" w:rsidRDefault="00CA058E">
            <w:pPr>
              <w:pStyle w:val="Rientrocorpodeltesto"/>
              <w:rPr>
                <w:rFonts w:ascii="Times New Roman" w:hAnsi="Times New Roman"/>
              </w:rPr>
            </w:pPr>
          </w:p>
          <w:p w14:paraId="68372F53" w14:textId="77777777" w:rsidR="00CA058E" w:rsidRDefault="00CA058E">
            <w:pPr>
              <w:pStyle w:val="Intestazione"/>
              <w:tabs>
                <w:tab w:val="clear" w:pos="4819"/>
                <w:tab w:val="clear" w:pos="9638"/>
              </w:tabs>
            </w:pPr>
            <w:r>
              <w:rPr>
                <w:sz w:val="32"/>
              </w:rPr>
              <w:t xml:space="preserve">Lavorazione tipo: </w:t>
            </w:r>
            <w:r>
              <w:rPr>
                <w:b/>
                <w:bCs/>
                <w:sz w:val="28"/>
                <w:szCs w:val="20"/>
              </w:rPr>
              <w:t>CONSOLIDAMENTO E PROTEZIONE DEL LATERIZIO</w:t>
            </w:r>
          </w:p>
        </w:tc>
      </w:tr>
    </w:tbl>
    <w:p w14:paraId="58531605" w14:textId="77777777" w:rsidR="00CA058E" w:rsidRDefault="00CA058E">
      <w:pPr>
        <w:spacing w:line="360" w:lineRule="auto"/>
        <w:jc w:val="both"/>
      </w:pPr>
    </w:p>
    <w:p w14:paraId="06809C14" w14:textId="77777777" w:rsidR="00CA058E" w:rsidRDefault="00CA058E">
      <w:pPr>
        <w:spacing w:line="360" w:lineRule="auto"/>
        <w:rPr>
          <w:szCs w:val="20"/>
        </w:rPr>
      </w:pPr>
      <w:r>
        <w:rPr>
          <w:b/>
          <w:bCs/>
          <w:szCs w:val="20"/>
        </w:rPr>
        <w:t>PRINCIPI FUNZIONALI DI BASE</w:t>
      </w:r>
      <w:r>
        <w:rPr>
          <w:szCs w:val="20"/>
        </w:rPr>
        <w:br/>
      </w:r>
      <w:r>
        <w:rPr>
          <w:szCs w:val="20"/>
        </w:rPr>
        <w:br/>
        <w:t>Il mattone è considerato, in relazione alla sua tecnologia e composizione, un sistema molto stabile chimicamente ma, a causa della crescente acidità dell'atmosfera, i laterizi esposti all'aria cominciano a risentire anche dei processi chimici del degrado. L'azione chimica comporta comunque perdita di materia, con formazione di nuova porosità, condizione che favorisce le azioni fisiche, come la gelività alla quale i laterizi sono particolarmente esposti. Il risultato è un progressivo indebolimento di tutta la struttura dell'elemento, con graduale perdita di consistenza. In questo caso occorre dotare le superfici di inerzia chimica, tramite l'applicazione di sostanze protettive adatte ad evitare l'assorbimento delle acque meteoriche che sono il veicolo preferenziale per l'ingresso, in soluzione, degli agenti di degrado. L'impregnante ad effetto protettivo dovrà garantire, a fronte di una bassa permeabilità all'acqua (idrorepellenza), la capacità di far traspirare il materiale in modo da conservare la diffusione del vapore, perfetta trasparenza priva di effetti traslucidi e minima variazione cromatica del supporto.</w:t>
      </w:r>
      <w:r>
        <w:rPr>
          <w:szCs w:val="20"/>
        </w:rPr>
        <w:br/>
      </w:r>
      <w:r>
        <w:rPr>
          <w:szCs w:val="20"/>
        </w:rPr>
        <w:br/>
      </w:r>
      <w:r>
        <w:rPr>
          <w:b/>
          <w:bCs/>
          <w:szCs w:val="20"/>
        </w:rPr>
        <w:t>FASI DI ESECUZIONE</w:t>
      </w:r>
      <w:r>
        <w:rPr>
          <w:szCs w:val="20"/>
        </w:rPr>
        <w:br/>
        <w:t>Prima di dare inizio ai lavori, è necessario eseguire prove su superfici campione al fine di determinare la quantità di materiale occorrente, di verificare la riuscita del trattamento e la profondità di impregnazione. Poiché solitamente le sostanze impregnanti si applicano su fondi asciutti, è opportuno, dopo la pulizia della superficie, attendere che le superfici traspirino e riacquistino capacità di assorbimento. L'applicazione dei protettivi avviene per impregnazione sulla superficie da trattare e la scelta del metodo di applicazione deve essere fatta in modo da ottimizzare le condizioni per ottenere una buona profondità di penetrazione.</w:t>
      </w:r>
      <w:r>
        <w:rPr>
          <w:szCs w:val="20"/>
        </w:rPr>
        <w:br/>
      </w:r>
      <w:r>
        <w:rPr>
          <w:szCs w:val="20"/>
        </w:rPr>
        <w:br/>
      </w:r>
      <w:r>
        <w:rPr>
          <w:b/>
          <w:bCs/>
          <w:szCs w:val="20"/>
        </w:rPr>
        <w:t>CAMPI DI APPLICAZIONE</w:t>
      </w:r>
      <w:r>
        <w:rPr>
          <w:szCs w:val="20"/>
        </w:rPr>
        <w:br/>
        <w:t xml:space="preserve">I </w:t>
      </w:r>
      <w:r>
        <w:rPr>
          <w:b/>
          <w:bCs/>
          <w:szCs w:val="20"/>
        </w:rPr>
        <w:t>polimeri siliconici</w:t>
      </w:r>
      <w:r>
        <w:rPr>
          <w:szCs w:val="20"/>
        </w:rPr>
        <w:t>, in concentrazioni più diluite, sono usati con funzione protettiva sulle superfici in cotto, per la loro spiccata idrorepellenza e buona resistenza agli agenti chimici. Inoltre le loro proprietà fisiche vengono scarsamente influenzate dalla temperatura e sono molto stabili al calore e all'ossidazione.</w:t>
      </w:r>
      <w:r>
        <w:rPr>
          <w:szCs w:val="20"/>
        </w:rPr>
        <w:br/>
      </w:r>
      <w:r>
        <w:rPr>
          <w:szCs w:val="20"/>
        </w:rPr>
        <w:lastRenderedPageBreak/>
        <w:t xml:space="preserve">Soluzioni di </w:t>
      </w:r>
      <w:r>
        <w:rPr>
          <w:b/>
          <w:bCs/>
          <w:szCs w:val="20"/>
        </w:rPr>
        <w:t>oligomeri silossanici</w:t>
      </w:r>
      <w:r>
        <w:rPr>
          <w:szCs w:val="20"/>
        </w:rPr>
        <w:t xml:space="preserve"> in base acquosa hanno funzione idrorepellente e sono applicabili su supporti umidi: conferiscono al materiale trattato resistenza all'umidità. </w:t>
      </w:r>
      <w:r>
        <w:rPr>
          <w:szCs w:val="20"/>
        </w:rPr>
        <w:br/>
        <w:t xml:space="preserve">I prodotti </w:t>
      </w:r>
      <w:proofErr w:type="spellStart"/>
      <w:r>
        <w:rPr>
          <w:b/>
          <w:bCs/>
          <w:szCs w:val="20"/>
        </w:rPr>
        <w:t>silanici</w:t>
      </w:r>
      <w:proofErr w:type="spellEnd"/>
      <w:r>
        <w:rPr>
          <w:szCs w:val="20"/>
        </w:rPr>
        <w:t xml:space="preserve"> possiedono una serie di caratteristiche che li rendono particolarmente adatti all'uso di protettivi nel caso di supporti di natura silicatica come i mattoni, in quanto si formano dei legami tra la superficie dei pori ed il prodotto finale della reazione; tali legami conferiscono un'adesione particolarmente tenace tra prodotto e supporto. La bassa viscosità favorisce inoltre la penetrazione del prodotto all'interno del materiale, permettendo il processo di polimerizzazione anche in profondità. La presenza di prodotto all'interno del materiale, garantisce un'azione prolungata nel tempo, anche qualora condizioni ambientali particolarmente negative agiscano sulla superficie, asportandone una parte. </w:t>
      </w:r>
      <w:r>
        <w:rPr>
          <w:szCs w:val="20"/>
        </w:rPr>
        <w:br/>
        <w:t xml:space="preserve">Un'altra categoria di prodotti dei quali è stata sperimentata l'efficacia per la protezione del cotto sono i </w:t>
      </w:r>
      <w:r>
        <w:rPr>
          <w:b/>
          <w:bCs/>
          <w:szCs w:val="20"/>
        </w:rPr>
        <w:t>polimeri fluorurati</w:t>
      </w:r>
      <w:r>
        <w:rPr>
          <w:szCs w:val="20"/>
        </w:rPr>
        <w:t xml:space="preserve">. L'azione protettiva idro-oleorepellente del formulato, è legata alla stratificazione sulla superficie esterna della parte fluorurata che agisce da barriera nei confronti di sostanze penetranti. Per queste caratteristiche il prodotto appartiene ad una differente classe: quella dei protettivi di superficie. Infatti il prodotto presenta bassa penetrazione a causa del suo alto peso molecolare. </w:t>
      </w:r>
      <w:r>
        <w:rPr>
          <w:szCs w:val="20"/>
        </w:rPr>
        <w:br/>
        <w:t xml:space="preserve">Come protettivo per ceramiche e </w:t>
      </w:r>
      <w:proofErr w:type="spellStart"/>
      <w:r>
        <w:rPr>
          <w:szCs w:val="20"/>
        </w:rPr>
        <w:t>terracotte</w:t>
      </w:r>
      <w:proofErr w:type="spellEnd"/>
      <w:r>
        <w:rPr>
          <w:szCs w:val="20"/>
        </w:rPr>
        <w:t xml:space="preserve"> conservate in ambienti interni, le </w:t>
      </w:r>
      <w:r>
        <w:rPr>
          <w:b/>
          <w:bCs/>
          <w:szCs w:val="20"/>
        </w:rPr>
        <w:t>resine acriliche</w:t>
      </w:r>
      <w:r>
        <w:rPr>
          <w:szCs w:val="20"/>
        </w:rPr>
        <w:t xml:space="preserve"> diluite in solvente, oltre ad essere reversibili, offrono buone doti di stabilità e ottime possibilità di manipolazione. Tra queste, molto usato è il </w:t>
      </w:r>
      <w:proofErr w:type="spellStart"/>
      <w:r>
        <w:rPr>
          <w:szCs w:val="20"/>
        </w:rPr>
        <w:t>Paraloid</w:t>
      </w:r>
      <w:proofErr w:type="spellEnd"/>
      <w:r>
        <w:rPr>
          <w:szCs w:val="20"/>
        </w:rPr>
        <w:t xml:space="preserve"> B 72 sciolto in percentuale di peso non superiore al 5% in tricloroetano. </w:t>
      </w:r>
      <w:r>
        <w:rPr>
          <w:szCs w:val="20"/>
        </w:rPr>
        <w:br/>
        <w:t>Per uso esterno è però segnalata una particolare sensibilità all'acqua dei polimeri acrilici.</w:t>
      </w:r>
      <w:r>
        <w:rPr>
          <w:szCs w:val="20"/>
        </w:rPr>
        <w:br/>
      </w:r>
      <w:r>
        <w:rPr>
          <w:szCs w:val="20"/>
        </w:rPr>
        <w:br/>
      </w:r>
      <w:r>
        <w:rPr>
          <w:b/>
          <w:bCs/>
          <w:szCs w:val="20"/>
        </w:rPr>
        <w:t>ACCORGIMENTI E VARIANTI</w:t>
      </w:r>
      <w:r>
        <w:rPr>
          <w:szCs w:val="20"/>
        </w:rPr>
        <w:br/>
        <w:t xml:space="preserve">Nei mesi estivi occorre evitare di impregnare le superfici soleggiate, mentre durante la stagione invernale, è opportuno proteggere con teli, per almeno tre giorni, le superfici, evitando di effettuare il trattamento con temperature inferiori a 0°C. </w:t>
      </w:r>
      <w:proofErr w:type="gramStart"/>
      <w:r>
        <w:rPr>
          <w:szCs w:val="20"/>
        </w:rPr>
        <w:t>E'</w:t>
      </w:r>
      <w:proofErr w:type="gramEnd"/>
      <w:r>
        <w:rPr>
          <w:szCs w:val="20"/>
        </w:rPr>
        <w:t xml:space="preserve"> consigliabile eseguire l'impregnazione a temperature comprese fra i 10 ed i 25°C.</w:t>
      </w:r>
      <w:r>
        <w:rPr>
          <w:szCs w:val="20"/>
        </w:rPr>
        <w:br/>
      </w:r>
      <w:r>
        <w:rPr>
          <w:szCs w:val="20"/>
        </w:rPr>
        <w:br/>
      </w:r>
      <w:r>
        <w:rPr>
          <w:b/>
          <w:bCs/>
          <w:szCs w:val="20"/>
        </w:rPr>
        <w:t>LIMITI</w:t>
      </w:r>
      <w:r>
        <w:rPr>
          <w:szCs w:val="20"/>
        </w:rPr>
        <w:br/>
        <w:t xml:space="preserve">Le </w:t>
      </w:r>
      <w:r>
        <w:rPr>
          <w:b/>
          <w:bCs/>
          <w:szCs w:val="20"/>
        </w:rPr>
        <w:t>resine siliconiche</w:t>
      </w:r>
      <w:r>
        <w:rPr>
          <w:szCs w:val="20"/>
        </w:rPr>
        <w:t xml:space="preserve"> non sono reversibili. Inoltre la saturazione del colore che provocano nei materiali porosi in cui vengono fatti assorbire, non sempre soddisfa le esigenze estetiche della conservazione.</w:t>
      </w:r>
      <w:r>
        <w:rPr>
          <w:szCs w:val="20"/>
        </w:rPr>
        <w:br/>
        <w:t xml:space="preserve">Il </w:t>
      </w:r>
      <w:r>
        <w:rPr>
          <w:b/>
          <w:bCs/>
          <w:szCs w:val="20"/>
        </w:rPr>
        <w:t>copolimero fluorurato</w:t>
      </w:r>
      <w:r>
        <w:rPr>
          <w:szCs w:val="20"/>
        </w:rPr>
        <w:t xml:space="preserve"> presenta bassa penetrazione all'interno del materiale fittile dovuta al suo </w:t>
      </w:r>
      <w:r>
        <w:rPr>
          <w:szCs w:val="20"/>
        </w:rPr>
        <w:lastRenderedPageBreak/>
        <w:t>peso molecolare medio che è relativamente alto. Questo comportamento fa sì che la soluzione raggiunga solo strati della sezione di materiale molto vicini alla superficie.</w:t>
      </w:r>
    </w:p>
    <w:p w14:paraId="3C6659A0" w14:textId="77777777" w:rsidR="00CA058E" w:rsidRDefault="00CA058E">
      <w:pPr>
        <w:pStyle w:val="Intestazione"/>
        <w:tabs>
          <w:tab w:val="clear" w:pos="4819"/>
          <w:tab w:val="clear" w:pos="9638"/>
        </w:tabs>
        <w:spacing w:line="360" w:lineRule="auto"/>
        <w:jc w:val="both"/>
      </w:pPr>
    </w:p>
    <w:p w14:paraId="3D892704" w14:textId="77777777" w:rsidR="00CA058E" w:rsidRDefault="00CA058E">
      <w:pPr>
        <w:pStyle w:val="Pidipagina"/>
        <w:tabs>
          <w:tab w:val="clear" w:pos="4819"/>
          <w:tab w:val="clear" w:pos="9638"/>
        </w:tabs>
        <w:spacing w:line="360" w:lineRule="auto"/>
        <w:jc w:val="both"/>
      </w:pPr>
      <w:r>
        <w:t>Firma per approvazione (Alta Direzione</w:t>
      </w:r>
      <w:proofErr w:type="gramStart"/>
      <w:r>
        <w:t xml:space="preserve">):   </w:t>
      </w:r>
      <w:proofErr w:type="gramEnd"/>
      <w:r>
        <w:t>......................................................................…………...</w:t>
      </w:r>
      <w:r>
        <w:tab/>
      </w:r>
      <w:r>
        <w:tab/>
      </w:r>
    </w:p>
    <w:p w14:paraId="51AAA0C4" w14:textId="77777777" w:rsidR="00CA058E" w:rsidRDefault="00CA058E">
      <w:pPr>
        <w:spacing w:line="360" w:lineRule="auto"/>
        <w:jc w:val="both"/>
      </w:pPr>
    </w:p>
    <w:sectPr w:rsidR="00CA058E">
      <w:headerReference w:type="default" r:id="rId7"/>
      <w:pgSz w:w="11906" w:h="16838"/>
      <w:pgMar w:top="1417"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25441" w14:textId="77777777" w:rsidR="00867587" w:rsidRDefault="00867587" w:rsidP="00CA058E">
      <w:r>
        <w:separator/>
      </w:r>
    </w:p>
  </w:endnote>
  <w:endnote w:type="continuationSeparator" w:id="0">
    <w:p w14:paraId="255622D5" w14:textId="77777777" w:rsidR="00867587" w:rsidRDefault="00867587" w:rsidP="00CA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766 BT">
    <w:altName w:val="Cambria"/>
    <w:charset w:val="00"/>
    <w:family w:val="roman"/>
    <w:pitch w:val="variable"/>
    <w:sig w:usb0="00000001" w:usb1="00000000" w:usb2="00000000" w:usb3="00000000" w:csb0="00000011" w:csb1="00000000"/>
  </w:font>
  <w:font w:name="Arial Unicode MS">
    <w:altName w:val="Arial"/>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40B15" w14:textId="77777777" w:rsidR="00867587" w:rsidRDefault="00867587" w:rsidP="00CA058E">
      <w:r>
        <w:separator/>
      </w:r>
    </w:p>
  </w:footnote>
  <w:footnote w:type="continuationSeparator" w:id="0">
    <w:p w14:paraId="3D62C7D1" w14:textId="77777777" w:rsidR="00867587" w:rsidRDefault="00867587" w:rsidP="00CA0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2950"/>
      <w:gridCol w:w="1975"/>
      <w:gridCol w:w="1808"/>
      <w:gridCol w:w="3057"/>
    </w:tblGrid>
    <w:tr w:rsidR="00F87CDE" w14:paraId="04A2A1C7" w14:textId="77777777">
      <w:tblPrEx>
        <w:tblCellMar>
          <w:top w:w="0" w:type="dxa"/>
          <w:bottom w:w="0" w:type="dxa"/>
        </w:tblCellMar>
      </w:tblPrEx>
      <w:trPr>
        <w:cantSplit/>
        <w:trHeight w:val="1270"/>
      </w:trPr>
      <w:tc>
        <w:tcPr>
          <w:tcW w:w="2950" w:type="dxa"/>
          <w:tcBorders>
            <w:top w:val="double" w:sz="4" w:space="0" w:color="auto"/>
            <w:left w:val="double" w:sz="4" w:space="0" w:color="auto"/>
            <w:bottom w:val="single" w:sz="6" w:space="0" w:color="auto"/>
          </w:tcBorders>
          <w:shd w:val="clear" w:color="auto" w:fill="D9D9D9"/>
          <w:vAlign w:val="center"/>
        </w:tcPr>
        <w:p w14:paraId="7705E1CD" w14:textId="40D223B6" w:rsidR="00F87CDE" w:rsidRDefault="00F87CDE" w:rsidP="00F87CDE">
          <w:pPr>
            <w:jc w:val="center"/>
            <w:rPr>
              <w:rFonts w:ascii="Arial" w:hAnsi="Arial" w:cs="Arial"/>
              <w:b/>
              <w:color w:val="800000"/>
            </w:rPr>
          </w:pPr>
          <w:r w:rsidRPr="00941B25">
            <w:rPr>
              <w:rFonts w:ascii="Arial" w:hAnsi="Arial" w:cs="Arial"/>
              <w:color w:val="800000"/>
              <w:szCs w:val="20"/>
            </w:rPr>
            <w:t>Pangea s.r.l.</w:t>
          </w:r>
        </w:p>
      </w:tc>
      <w:tc>
        <w:tcPr>
          <w:tcW w:w="3783" w:type="dxa"/>
          <w:gridSpan w:val="2"/>
          <w:tcBorders>
            <w:top w:val="double" w:sz="4" w:space="0" w:color="auto"/>
            <w:bottom w:val="single" w:sz="6" w:space="0" w:color="auto"/>
          </w:tcBorders>
          <w:shd w:val="clear" w:color="auto" w:fill="E6E6E6"/>
          <w:vAlign w:val="center"/>
        </w:tcPr>
        <w:p w14:paraId="37B45C2A" w14:textId="77777777" w:rsidR="00F87CDE" w:rsidRDefault="00F87CDE" w:rsidP="00F87CDE">
          <w:pPr>
            <w:pStyle w:val="Titolo2"/>
            <w:rPr>
              <w:rFonts w:ascii="Arial" w:hAnsi="Arial" w:cs="Arial"/>
              <w:color w:val="800000"/>
              <w:sz w:val="36"/>
            </w:rPr>
          </w:pPr>
          <w:r>
            <w:rPr>
              <w:rFonts w:ascii="Arial" w:hAnsi="Arial" w:cs="Arial"/>
              <w:color w:val="800000"/>
              <w:sz w:val="24"/>
            </w:rPr>
            <w:t>Scheda lavorazioni</w:t>
          </w:r>
        </w:p>
      </w:tc>
      <w:tc>
        <w:tcPr>
          <w:tcW w:w="3057" w:type="dxa"/>
          <w:tcBorders>
            <w:top w:val="double" w:sz="4" w:space="0" w:color="auto"/>
            <w:bottom w:val="single" w:sz="6" w:space="0" w:color="auto"/>
            <w:right w:val="double" w:sz="4" w:space="0" w:color="auto"/>
          </w:tcBorders>
          <w:shd w:val="clear" w:color="auto" w:fill="E6E6E6"/>
          <w:vAlign w:val="center"/>
        </w:tcPr>
        <w:p w14:paraId="1D407BAB" w14:textId="77777777" w:rsidR="00F87CDE" w:rsidRDefault="00F87CDE" w:rsidP="00F87CDE">
          <w:pPr>
            <w:jc w:val="right"/>
            <w:rPr>
              <w:rFonts w:ascii="Arial" w:hAnsi="Arial" w:cs="Arial"/>
              <w:color w:val="800000"/>
              <w:sz w:val="22"/>
              <w:lang w:val="en-GB"/>
            </w:rPr>
          </w:pPr>
          <w:r>
            <w:rPr>
              <w:rFonts w:ascii="Arial" w:hAnsi="Arial" w:cs="Arial"/>
              <w:color w:val="800000"/>
              <w:sz w:val="22"/>
              <w:lang w:val="en-GB"/>
            </w:rPr>
            <w:t xml:space="preserve">Rif. </w:t>
          </w:r>
          <w:r>
            <w:rPr>
              <w:rFonts w:ascii="Arial" w:hAnsi="Arial" w:cs="Arial"/>
              <w:b/>
              <w:bCs/>
              <w:color w:val="800000"/>
              <w:sz w:val="22"/>
              <w:lang w:val="en-GB"/>
            </w:rPr>
            <w:t>IDL 7-1 Z</w:t>
          </w:r>
        </w:p>
        <w:p w14:paraId="4DD522BE" w14:textId="77777777" w:rsidR="00F87CDE" w:rsidRDefault="00F87CDE" w:rsidP="00F87CDE">
          <w:pPr>
            <w:jc w:val="right"/>
            <w:rPr>
              <w:rFonts w:ascii="Arial" w:hAnsi="Arial" w:cs="Arial"/>
              <w:color w:val="800000"/>
              <w:sz w:val="22"/>
            </w:rPr>
          </w:pPr>
          <w:r>
            <w:rPr>
              <w:rFonts w:ascii="Arial" w:hAnsi="Arial" w:cs="Arial"/>
              <w:color w:val="800000"/>
              <w:sz w:val="22"/>
              <w:lang w:val="en-GB"/>
            </w:rPr>
            <w:t xml:space="preserve">Ed. </w:t>
          </w:r>
          <w:r>
            <w:rPr>
              <w:rFonts w:ascii="Arial" w:hAnsi="Arial" w:cs="Arial"/>
              <w:b/>
              <w:bCs/>
              <w:color w:val="800000"/>
              <w:sz w:val="22"/>
              <w:lang w:val="en-GB"/>
            </w:rPr>
            <w:t xml:space="preserve">1 </w:t>
          </w:r>
          <w:r>
            <w:rPr>
              <w:rFonts w:ascii="Arial" w:hAnsi="Arial" w:cs="Arial"/>
              <w:color w:val="800000"/>
              <w:sz w:val="22"/>
              <w:lang w:val="en-GB"/>
            </w:rPr>
            <w:t xml:space="preserve">Rev. </w:t>
          </w:r>
          <w:r>
            <w:rPr>
              <w:rFonts w:ascii="Arial" w:hAnsi="Arial" w:cs="Arial"/>
              <w:b/>
              <w:bCs/>
              <w:color w:val="800000"/>
              <w:sz w:val="22"/>
              <w:lang w:val="en-GB"/>
            </w:rPr>
            <w:t>0</w:t>
          </w:r>
          <w:r>
            <w:rPr>
              <w:rFonts w:ascii="Arial" w:hAnsi="Arial" w:cs="Arial"/>
              <w:color w:val="800000"/>
              <w:sz w:val="22"/>
              <w:lang w:val="en-GB"/>
            </w:rPr>
            <w:t xml:space="preserve"> </w:t>
          </w:r>
        </w:p>
      </w:tc>
    </w:tr>
    <w:tr w:rsidR="00F87CDE" w14:paraId="726FE5FB" w14:textId="77777777">
      <w:tblPrEx>
        <w:tblCellMar>
          <w:top w:w="0" w:type="dxa"/>
          <w:bottom w:w="0" w:type="dxa"/>
        </w:tblCellMar>
      </w:tblPrEx>
      <w:trPr>
        <w:cantSplit/>
      </w:trPr>
      <w:tc>
        <w:tcPr>
          <w:tcW w:w="4925" w:type="dxa"/>
          <w:gridSpan w:val="2"/>
          <w:tcBorders>
            <w:top w:val="single" w:sz="6" w:space="0" w:color="auto"/>
            <w:left w:val="double" w:sz="4" w:space="0" w:color="auto"/>
            <w:bottom w:val="double" w:sz="4" w:space="0" w:color="auto"/>
            <w:right w:val="nil"/>
          </w:tcBorders>
          <w:shd w:val="clear" w:color="auto" w:fill="E6E6E6"/>
        </w:tcPr>
        <w:p w14:paraId="6E24FF18" w14:textId="77777777" w:rsidR="00F87CDE" w:rsidRDefault="00F87CDE" w:rsidP="00F87CDE">
          <w:pPr>
            <w:pStyle w:val="Titolo5"/>
            <w:rPr>
              <w:rFonts w:ascii="Times New Roman" w:hAnsi="Times New Roman" w:cs="Times New Roman"/>
              <w:color w:val="800000"/>
              <w:sz w:val="22"/>
            </w:rPr>
          </w:pPr>
          <w:r>
            <w:rPr>
              <w:rFonts w:ascii="Times New Roman" w:hAnsi="Times New Roman" w:cs="Times New Roman"/>
              <w:color w:val="800000"/>
            </w:rPr>
            <w:t>Sezione sette</w:t>
          </w:r>
        </w:p>
      </w:tc>
      <w:tc>
        <w:tcPr>
          <w:tcW w:w="4865" w:type="dxa"/>
          <w:gridSpan w:val="2"/>
          <w:tcBorders>
            <w:top w:val="single" w:sz="6" w:space="0" w:color="auto"/>
            <w:left w:val="nil"/>
            <w:bottom w:val="double" w:sz="4" w:space="0" w:color="auto"/>
            <w:right w:val="double" w:sz="4" w:space="0" w:color="auto"/>
          </w:tcBorders>
          <w:shd w:val="clear" w:color="auto" w:fill="E6E6E6"/>
        </w:tcPr>
        <w:p w14:paraId="1C5B3794" w14:textId="77777777" w:rsidR="00F87CDE" w:rsidRDefault="00F87CDE" w:rsidP="00F87CDE">
          <w:pPr>
            <w:pStyle w:val="Titolo5"/>
            <w:jc w:val="right"/>
            <w:rPr>
              <w:rFonts w:ascii="Times New Roman" w:hAnsi="Times New Roman" w:cs="Times New Roman"/>
              <w:color w:val="800000"/>
            </w:rPr>
          </w:pPr>
          <w:r>
            <w:rPr>
              <w:rFonts w:ascii="Times New Roman" w:hAnsi="Times New Roman" w:cs="Times New Roman"/>
              <w:color w:val="800000"/>
            </w:rPr>
            <w:t xml:space="preserve">Pagina </w:t>
          </w:r>
          <w:r>
            <w:rPr>
              <w:rFonts w:ascii="Century Gothic" w:hAnsi="Century Gothic" w:cs="Times New Roman"/>
              <w:color w:val="800000"/>
            </w:rPr>
            <w:fldChar w:fldCharType="begin"/>
          </w:r>
          <w:r>
            <w:rPr>
              <w:rFonts w:ascii="Century Gothic" w:hAnsi="Century Gothic" w:cs="Times New Roman"/>
              <w:color w:val="800000"/>
            </w:rPr>
            <w:instrText xml:space="preserve"> PAGE </w:instrText>
          </w:r>
          <w:r>
            <w:rPr>
              <w:rFonts w:ascii="Century Gothic" w:hAnsi="Century Gothic" w:cs="Times New Roman"/>
              <w:color w:val="800000"/>
            </w:rPr>
            <w:fldChar w:fldCharType="separate"/>
          </w:r>
          <w:r>
            <w:rPr>
              <w:rFonts w:ascii="Century Gothic" w:hAnsi="Century Gothic" w:cs="Times New Roman"/>
              <w:noProof/>
              <w:color w:val="800000"/>
            </w:rPr>
            <w:t>2</w:t>
          </w:r>
          <w:r>
            <w:rPr>
              <w:rFonts w:ascii="Century Gothic" w:hAnsi="Century Gothic" w:cs="Times New Roman"/>
              <w:color w:val="800000"/>
            </w:rPr>
            <w:fldChar w:fldCharType="end"/>
          </w:r>
          <w:r>
            <w:rPr>
              <w:rFonts w:ascii="Times New Roman" w:hAnsi="Times New Roman" w:cs="Times New Roman"/>
              <w:color w:val="800000"/>
            </w:rPr>
            <w:t xml:space="preserve"> di </w:t>
          </w:r>
          <w:r>
            <w:rPr>
              <w:rFonts w:ascii="Times New Roman" w:hAnsi="Times New Roman" w:cs="Times New Roman"/>
              <w:color w:val="800000"/>
            </w:rPr>
            <w:fldChar w:fldCharType="begin"/>
          </w:r>
          <w:r>
            <w:rPr>
              <w:rFonts w:ascii="Times New Roman" w:hAnsi="Times New Roman" w:cs="Times New Roman"/>
              <w:color w:val="800000"/>
            </w:rPr>
            <w:instrText xml:space="preserve"> NUMPAGES </w:instrText>
          </w:r>
          <w:r>
            <w:rPr>
              <w:rFonts w:ascii="Times New Roman" w:hAnsi="Times New Roman" w:cs="Times New Roman"/>
              <w:color w:val="800000"/>
            </w:rPr>
            <w:fldChar w:fldCharType="separate"/>
          </w:r>
          <w:r>
            <w:rPr>
              <w:rFonts w:ascii="Times New Roman" w:hAnsi="Times New Roman" w:cs="Times New Roman"/>
              <w:noProof/>
              <w:color w:val="800000"/>
            </w:rPr>
            <w:t>4</w:t>
          </w:r>
          <w:r>
            <w:rPr>
              <w:rFonts w:ascii="Times New Roman" w:hAnsi="Times New Roman" w:cs="Times New Roman"/>
              <w:color w:val="800000"/>
            </w:rPr>
            <w:fldChar w:fldCharType="end"/>
          </w:r>
        </w:p>
      </w:tc>
    </w:tr>
  </w:tbl>
  <w:p w14:paraId="49D6B762" w14:textId="77777777" w:rsidR="00CA058E" w:rsidRDefault="00CA058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D762E"/>
    <w:multiLevelType w:val="hybridMultilevel"/>
    <w:tmpl w:val="A73063E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E5E68E9"/>
    <w:multiLevelType w:val="hybridMultilevel"/>
    <w:tmpl w:val="405A4BC6"/>
    <w:lvl w:ilvl="0" w:tplc="4B50CAD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3360DC"/>
    <w:multiLevelType w:val="hybridMultilevel"/>
    <w:tmpl w:val="C076EA1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445D6082"/>
    <w:multiLevelType w:val="hybridMultilevel"/>
    <w:tmpl w:val="ED16166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5DD468A6"/>
    <w:multiLevelType w:val="hybridMultilevel"/>
    <w:tmpl w:val="B29CA9C0"/>
    <w:lvl w:ilvl="0" w:tplc="FFECC4AC">
      <w:start w:val="3"/>
      <w:numFmt w:val="decimal"/>
      <w:lvlText w:val="%1)"/>
      <w:lvlJc w:val="left"/>
      <w:pPr>
        <w:tabs>
          <w:tab w:val="num" w:pos="765"/>
        </w:tabs>
        <w:ind w:left="765" w:hanging="405"/>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658452C6"/>
    <w:multiLevelType w:val="hybridMultilevel"/>
    <w:tmpl w:val="583A147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059938216">
    <w:abstractNumId w:val="4"/>
  </w:num>
  <w:num w:numId="2" w16cid:durableId="112096048">
    <w:abstractNumId w:val="1"/>
  </w:num>
  <w:num w:numId="3" w16cid:durableId="1096515298">
    <w:abstractNumId w:val="3"/>
  </w:num>
  <w:num w:numId="4" w16cid:durableId="1858277159">
    <w:abstractNumId w:val="2"/>
  </w:num>
  <w:num w:numId="5" w16cid:durableId="12417306">
    <w:abstractNumId w:val="5"/>
  </w:num>
  <w:num w:numId="6" w16cid:durableId="672030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8E"/>
    <w:rsid w:val="001237CD"/>
    <w:rsid w:val="0057643D"/>
    <w:rsid w:val="00867587"/>
    <w:rsid w:val="00CA058E"/>
    <w:rsid w:val="00F87C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A5C3E"/>
  <w15:chartTrackingRefBased/>
  <w15:docId w15:val="{9AFF8693-95FB-4C3A-8B30-D1FE1168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qFormat/>
    <w:pPr>
      <w:keepNext/>
      <w:jc w:val="center"/>
      <w:outlineLvl w:val="1"/>
    </w:pPr>
    <w:rPr>
      <w:i/>
      <w:sz w:val="28"/>
      <w:szCs w:val="20"/>
    </w:rPr>
  </w:style>
  <w:style w:type="paragraph" w:styleId="Titolo5">
    <w:name w:val="heading 5"/>
    <w:basedOn w:val="Normale"/>
    <w:next w:val="Normale"/>
    <w:qFormat/>
    <w:pPr>
      <w:keepNext/>
      <w:outlineLvl w:val="4"/>
    </w:pPr>
    <w:rPr>
      <w:rFonts w:ascii="Arial" w:hAnsi="Arial" w:cs="Arial"/>
      <w:i/>
      <w:iCs/>
      <w:sz w:val="20"/>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2"/>
    </w:pPr>
    <w:rPr>
      <w:rFonts w:ascii="Dutch766 BT" w:hAnsi="Dutch766 BT"/>
    </w:rPr>
  </w:style>
  <w:style w:type="paragraph" w:styleId="Titolo">
    <w:name w:val="Title"/>
    <w:basedOn w:val="Normale"/>
    <w:qFormat/>
    <w:pPr>
      <w:jc w:val="center"/>
    </w:pPr>
    <w:rPr>
      <w:b/>
      <w:bCs/>
      <w:sz w:val="36"/>
      <w:u w:val="single"/>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color w:val="000000"/>
    </w:rPr>
  </w:style>
  <w:style w:type="paragraph" w:styleId="Corpodeltesto">
    <w:name w:val="Corpo del testo"/>
    <w:basedOn w:val="Normale"/>
    <w:semiHidden/>
    <w:pPr>
      <w:spacing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4309</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Titolo del corso: </vt:lpstr>
    </vt:vector>
  </TitlesOfParts>
  <Company>Impresa Giuliano Roversi</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corso:</dc:title>
  <dc:subject/>
  <dc:creator>Giacomo Roversi</dc:creator>
  <cp:keywords/>
  <dc:description/>
  <cp:lastModifiedBy>Marco</cp:lastModifiedBy>
  <cp:revision>2</cp:revision>
  <cp:lastPrinted>2015-09-16T15:16:00Z</cp:lastPrinted>
  <dcterms:created xsi:type="dcterms:W3CDTF">2024-05-07T16:13:00Z</dcterms:created>
  <dcterms:modified xsi:type="dcterms:W3CDTF">2024-05-07T16:13:00Z</dcterms:modified>
</cp:coreProperties>
</file>