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6A1F8" w14:textId="77777777" w:rsidR="00D84FE2" w:rsidRDefault="00D84FE2">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D84FE2" w14:paraId="78819D63"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6A405386" w14:textId="77777777" w:rsidR="00D84FE2" w:rsidRDefault="00D84FE2">
            <w:pPr>
              <w:pStyle w:val="Rientrocorpodeltesto"/>
              <w:rPr>
                <w:rFonts w:ascii="Times New Roman" w:hAnsi="Times New Roman"/>
              </w:rPr>
            </w:pPr>
          </w:p>
          <w:p w14:paraId="40D130DE" w14:textId="77777777" w:rsidR="00D84FE2" w:rsidRDefault="00D84FE2">
            <w:pPr>
              <w:pStyle w:val="Rientrocorpodeltesto"/>
              <w:ind w:left="2450" w:hanging="2308"/>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CONSOLIDAMENTO DELLE STRUTTURE VOLTATE</w:t>
            </w:r>
          </w:p>
          <w:p w14:paraId="344C91C9" w14:textId="77777777" w:rsidR="00D84FE2" w:rsidRDefault="00D84FE2">
            <w:pPr>
              <w:pStyle w:val="Intestazione"/>
              <w:tabs>
                <w:tab w:val="clear" w:pos="4819"/>
                <w:tab w:val="clear" w:pos="9638"/>
              </w:tabs>
            </w:pPr>
          </w:p>
        </w:tc>
      </w:tr>
    </w:tbl>
    <w:p w14:paraId="1F7FE936" w14:textId="77777777" w:rsidR="00D84FE2" w:rsidRDefault="00D84FE2">
      <w:pPr>
        <w:spacing w:line="360" w:lineRule="auto"/>
        <w:jc w:val="both"/>
      </w:pPr>
    </w:p>
    <w:p w14:paraId="0922750B" w14:textId="77777777" w:rsidR="00D84FE2" w:rsidRDefault="00D84FE2">
      <w:pPr>
        <w:spacing w:line="360" w:lineRule="auto"/>
      </w:pPr>
      <w:r>
        <w:t xml:space="preserve">DESCRIZIONE DELLE OPERE </w:t>
      </w:r>
    </w:p>
    <w:p w14:paraId="09F0D1DC" w14:textId="164A137E" w:rsidR="00D84FE2" w:rsidRDefault="00D84FE2">
      <w:pPr>
        <w:pStyle w:val="Corpodeltesto"/>
        <w:rPr>
          <w:i/>
          <w:iCs/>
        </w:rPr>
      </w:pPr>
      <w:r>
        <w:rPr>
          <w:i/>
          <w:iCs/>
        </w:rPr>
        <w:t xml:space="preserve">Di seguito verranno descritte le operazioni comunemente eseguite per il consolidamento delle strutture voltate, le operazioni possono essere ridotte a due fasi essenziali, il consolidamento vero e proprio 1) e la realizzazione del piano di posa, realizzabile a sua volta in due distinte modalità 2A) o 2B) e una terza fase eventuale, il consolidamento delle fondazioni 3). </w:t>
      </w:r>
    </w:p>
    <w:p w14:paraId="76AF9480" w14:textId="77777777" w:rsidR="00D84FE2" w:rsidRDefault="00D84FE2">
      <w:pPr>
        <w:spacing w:line="360" w:lineRule="auto"/>
      </w:pPr>
    </w:p>
    <w:p w14:paraId="48E0D974" w14:textId="77777777" w:rsidR="00D84FE2" w:rsidRDefault="00D84FE2">
      <w:pPr>
        <w:spacing w:line="360" w:lineRule="auto"/>
        <w:jc w:val="center"/>
      </w:pPr>
      <w:r>
        <w:t>***</w:t>
      </w:r>
    </w:p>
    <w:p w14:paraId="750300CB" w14:textId="77777777" w:rsidR="00D84FE2" w:rsidRDefault="00D84FE2">
      <w:pPr>
        <w:spacing w:line="360" w:lineRule="auto"/>
        <w:jc w:val="both"/>
      </w:pPr>
      <w:r>
        <w:rPr>
          <w:b/>
          <w:bCs/>
        </w:rPr>
        <w:t xml:space="preserve">1) </w:t>
      </w:r>
      <w:r>
        <w:t>Consolidamento di struttura muraria voltata, a botte o a padiglione, in muratura di mattoni o pietra, mediante riparazione delle lesioni presenti sull’estradosso con iniezioni di malte idrauliche, stesa di rete di acciaio elettrosaldata, modellata sul profilo della volta, getto di calcestruzzo. Intervento realizzato attraverso la seguente sequenza di operazioni da svolgersi secondo le necessità del lavoro:</w:t>
      </w:r>
    </w:p>
    <w:p w14:paraId="0F425ACB" w14:textId="77777777" w:rsidR="00D84FE2" w:rsidRDefault="00D84FE2">
      <w:pPr>
        <w:numPr>
          <w:ilvl w:val="0"/>
          <w:numId w:val="3"/>
        </w:numPr>
        <w:tabs>
          <w:tab w:val="clear" w:pos="720"/>
          <w:tab w:val="num" w:pos="360"/>
        </w:tabs>
        <w:spacing w:line="360" w:lineRule="auto"/>
        <w:ind w:left="360"/>
        <w:jc w:val="both"/>
      </w:pPr>
      <w:r>
        <w:t>rimozione dei materiali di riempimento dei rinfianchi delle volte effettuata con particolare cautela comprese la movimentazione del materiale negli ambienti in oggetto e l’evidenziazione delle lesioni presenti sull’estradosso della volta tramite accurata pulizia della superficie dello stesso.</w:t>
      </w:r>
    </w:p>
    <w:p w14:paraId="7FA1D8B6" w14:textId="77777777" w:rsidR="00D84FE2" w:rsidRDefault="00D84FE2">
      <w:pPr>
        <w:numPr>
          <w:ilvl w:val="0"/>
          <w:numId w:val="3"/>
        </w:numPr>
        <w:tabs>
          <w:tab w:val="clear" w:pos="720"/>
          <w:tab w:val="num" w:pos="360"/>
        </w:tabs>
        <w:spacing w:line="360" w:lineRule="auto"/>
        <w:ind w:left="360"/>
        <w:jc w:val="both"/>
      </w:pPr>
      <w:r>
        <w:t>Scarnitura delle lesioni con completa rimozione dei detriti ivi presenti.</w:t>
      </w:r>
    </w:p>
    <w:p w14:paraId="7F03BC71" w14:textId="77777777" w:rsidR="00D84FE2" w:rsidRDefault="00D84FE2">
      <w:pPr>
        <w:numPr>
          <w:ilvl w:val="0"/>
          <w:numId w:val="3"/>
        </w:numPr>
        <w:tabs>
          <w:tab w:val="clear" w:pos="720"/>
          <w:tab w:val="num" w:pos="360"/>
        </w:tabs>
        <w:spacing w:line="360" w:lineRule="auto"/>
        <w:ind w:left="360"/>
        <w:jc w:val="both"/>
      </w:pPr>
      <w:r>
        <w:t>Sigillatura delle lesioni con malta idraulica.</w:t>
      </w:r>
    </w:p>
    <w:p w14:paraId="4D6144D8" w14:textId="77777777" w:rsidR="00D84FE2" w:rsidRDefault="00D84FE2">
      <w:pPr>
        <w:numPr>
          <w:ilvl w:val="0"/>
          <w:numId w:val="3"/>
        </w:numPr>
        <w:tabs>
          <w:tab w:val="clear" w:pos="720"/>
          <w:tab w:val="num" w:pos="360"/>
        </w:tabs>
        <w:spacing w:line="360" w:lineRule="auto"/>
        <w:ind w:left="360"/>
        <w:jc w:val="both"/>
      </w:pPr>
      <w:r>
        <w:t>Rigenerazione delle malte degradate mediante esecuzione di fori e successiva introduzione di malta idraulica premiscelata composta da leganti idraulici ad alta resistenza meccanica e a basso contenuto di sali solubili, quarzi finissimi, pozzolana, additivi fluidificanti, ritentivi ed aeranti, iniettata in tubetti portagomma opportunamente inseriti. Valutata a foro di iniezione.</w:t>
      </w:r>
    </w:p>
    <w:p w14:paraId="279AEDCF" w14:textId="77777777" w:rsidR="00D84FE2" w:rsidRDefault="00D84FE2">
      <w:pPr>
        <w:numPr>
          <w:ilvl w:val="0"/>
          <w:numId w:val="3"/>
        </w:numPr>
        <w:tabs>
          <w:tab w:val="clear" w:pos="720"/>
          <w:tab w:val="num" w:pos="360"/>
        </w:tabs>
        <w:spacing w:line="360" w:lineRule="auto"/>
        <w:ind w:left="360"/>
        <w:jc w:val="both"/>
      </w:pPr>
      <w:r>
        <w:t>Perforazioni con trapano elettrico di volte in muratura di mattoni per inserimento di barre, tiranti e simili, compreso ogni onere e magistero di approntamento del macchinario (alternativamente alla voce f).</w:t>
      </w:r>
    </w:p>
    <w:p w14:paraId="7DA1E1C8" w14:textId="77777777" w:rsidR="00D84FE2" w:rsidRDefault="00D84FE2">
      <w:pPr>
        <w:numPr>
          <w:ilvl w:val="0"/>
          <w:numId w:val="3"/>
        </w:numPr>
        <w:tabs>
          <w:tab w:val="clear" w:pos="720"/>
          <w:tab w:val="num" w:pos="360"/>
        </w:tabs>
        <w:spacing w:line="360" w:lineRule="auto"/>
        <w:ind w:left="360"/>
        <w:jc w:val="both"/>
      </w:pPr>
      <w:r>
        <w:lastRenderedPageBreak/>
        <w:t>Perforazioni con trapano elettrico di volte in pietrame per inserimento di barre, tiranti metallici e simili, compreso ogni onere e magistero di approntamento del macchinario (alternativa alla voce e).</w:t>
      </w:r>
    </w:p>
    <w:p w14:paraId="465FAFB7" w14:textId="77777777" w:rsidR="00D84FE2" w:rsidRDefault="00D84FE2">
      <w:pPr>
        <w:numPr>
          <w:ilvl w:val="0"/>
          <w:numId w:val="3"/>
        </w:numPr>
        <w:tabs>
          <w:tab w:val="clear" w:pos="720"/>
          <w:tab w:val="num" w:pos="360"/>
        </w:tabs>
        <w:spacing w:line="360" w:lineRule="auto"/>
        <w:ind w:left="360"/>
        <w:jc w:val="both"/>
      </w:pPr>
      <w:r>
        <w:t>Bare in acciaio alettato o ritorto ad aderenza migliorata, con carico di snervamento di 50 Kg/</w:t>
      </w:r>
      <w:proofErr w:type="spellStart"/>
      <w:r>
        <w:t>mmq</w:t>
      </w:r>
      <w:proofErr w:type="spellEnd"/>
      <w:r>
        <w:t xml:space="preserve">, fornite in opera nelle predisposte sedi per ancoraggio della sovrastruttura (rete elettrosaldata più getto di calcestruzzo), compreso lo sfrido e il </w:t>
      </w:r>
      <w:proofErr w:type="gramStart"/>
      <w:r>
        <w:t>taglio  a</w:t>
      </w:r>
      <w:proofErr w:type="gramEnd"/>
      <w:r>
        <w:t xml:space="preserve"> misura per qualsiasi diametro delle barre con esclusione delle eventuali iniezioni di resina necessarie alla loro connessione.</w:t>
      </w:r>
    </w:p>
    <w:p w14:paraId="5FE4D546" w14:textId="77777777" w:rsidR="00D84FE2" w:rsidRDefault="00D84FE2">
      <w:pPr>
        <w:numPr>
          <w:ilvl w:val="0"/>
          <w:numId w:val="3"/>
        </w:numPr>
        <w:tabs>
          <w:tab w:val="clear" w:pos="720"/>
          <w:tab w:val="num" w:pos="360"/>
        </w:tabs>
        <w:spacing w:line="360" w:lineRule="auto"/>
        <w:ind w:left="360"/>
        <w:jc w:val="both"/>
      </w:pPr>
      <w:r>
        <w:t>Connessione delle barre di acciaio alle strutture voltate mediante iniezioni di malta cementizio espansiva premiscelata, valutata a foro di iniezioni per una lunghezza massima di 15 cm.</w:t>
      </w:r>
    </w:p>
    <w:p w14:paraId="68D6B771" w14:textId="77777777" w:rsidR="00D84FE2" w:rsidRDefault="00D84FE2">
      <w:pPr>
        <w:numPr>
          <w:ilvl w:val="0"/>
          <w:numId w:val="3"/>
        </w:numPr>
        <w:tabs>
          <w:tab w:val="clear" w:pos="720"/>
          <w:tab w:val="num" w:pos="360"/>
        </w:tabs>
        <w:spacing w:line="360" w:lineRule="auto"/>
        <w:ind w:left="360"/>
        <w:jc w:val="both"/>
      </w:pPr>
      <w:r>
        <w:t xml:space="preserve">Fornitura in opera di rete in acciaio elettrosaldata a maglia quadra di qualsiasi dimensione, lavorata, tagliata a misura e posta in opera a regola d’arte seguendo il profilo della volta, compreso ogni sfrido, legature alle barre ancorate alla volta, distanziatori, ecc. (alternativa alla </w:t>
      </w:r>
      <w:proofErr w:type="spellStart"/>
      <w:r>
        <w:t>vocej</w:t>
      </w:r>
      <w:proofErr w:type="spellEnd"/>
      <w:r>
        <w:t>).</w:t>
      </w:r>
    </w:p>
    <w:p w14:paraId="1048622A" w14:textId="77777777" w:rsidR="00D84FE2" w:rsidRDefault="00D84FE2">
      <w:pPr>
        <w:numPr>
          <w:ilvl w:val="0"/>
          <w:numId w:val="3"/>
        </w:numPr>
        <w:tabs>
          <w:tab w:val="clear" w:pos="720"/>
          <w:tab w:val="num" w:pos="360"/>
        </w:tabs>
        <w:spacing w:line="360" w:lineRule="auto"/>
        <w:ind w:left="360"/>
        <w:jc w:val="both"/>
      </w:pPr>
      <w:r>
        <w:t>Fornitura in opera di rete in acciaio inossidabile elettrosaldata, Reval 30(AISI 3041) o Reval 31 (AISI 3161), Fe B 44 K, a maglia quadra di qualsiasi dimensione, lavorata, tagliata a misura e posta in opera a regola d’arte seguendo il profilo della volta, compreso ogni sfrido, legature alle barre ancorate alla volta, distanziatori, ecc. (alternativa alla voce i).</w:t>
      </w:r>
    </w:p>
    <w:p w14:paraId="43EA9F41" w14:textId="77777777" w:rsidR="00D84FE2" w:rsidRDefault="00D84FE2">
      <w:pPr>
        <w:numPr>
          <w:ilvl w:val="0"/>
          <w:numId w:val="3"/>
        </w:numPr>
        <w:tabs>
          <w:tab w:val="clear" w:pos="720"/>
          <w:tab w:val="num" w:pos="360"/>
        </w:tabs>
        <w:spacing w:line="360" w:lineRule="auto"/>
        <w:ind w:left="360"/>
        <w:jc w:val="both"/>
      </w:pPr>
      <w:r>
        <w:t>Getto, in corrispondenza dei rinfianchi della volta, fino al terzo medio, di conglomerato cementizio a base di argilla espansa eseguito con 250 Kg di cemento 32.5 e 1 mc di argilla espansa.</w:t>
      </w:r>
    </w:p>
    <w:p w14:paraId="1AEC4AB8" w14:textId="77777777" w:rsidR="00D84FE2" w:rsidRDefault="00D84FE2">
      <w:pPr>
        <w:numPr>
          <w:ilvl w:val="0"/>
          <w:numId w:val="3"/>
        </w:numPr>
        <w:tabs>
          <w:tab w:val="clear" w:pos="720"/>
          <w:tab w:val="num" w:pos="360"/>
        </w:tabs>
        <w:spacing w:line="360" w:lineRule="auto"/>
        <w:ind w:left="360"/>
        <w:jc w:val="both"/>
      </w:pPr>
      <w:r>
        <w:t>Conglomerato cementizio, eseguito con Kg 300 di cemento 32.5, 0.4 mc di sabbia e 0.8 mc di ghiaietto, per formazione di soletta con rivestimento della rete elettrosaldata.</w:t>
      </w:r>
    </w:p>
    <w:p w14:paraId="75FB40F8" w14:textId="77777777" w:rsidR="00D84FE2" w:rsidRDefault="00D84FE2">
      <w:pPr>
        <w:spacing w:line="360" w:lineRule="auto"/>
        <w:jc w:val="center"/>
      </w:pPr>
      <w:r>
        <w:t>***</w:t>
      </w:r>
    </w:p>
    <w:p w14:paraId="42F858EA" w14:textId="77777777" w:rsidR="00D84FE2" w:rsidRDefault="00D84FE2">
      <w:pPr>
        <w:spacing w:line="360" w:lineRule="auto"/>
        <w:jc w:val="both"/>
      </w:pPr>
      <w:r>
        <w:rPr>
          <w:b/>
          <w:bCs/>
        </w:rPr>
        <w:t xml:space="preserve">2A) </w:t>
      </w:r>
      <w:r>
        <w:t xml:space="preserve">Formazione del piano orizzontale di posa dei pavimenti sovrastanti le volte a seguito degli interventi di riduzione dei carichi applicati (rimozione delle preesistenti masse di riempimento): realizzazione delle quote di posa dei pavimenti sovrastanti le volte attraverso un getto di riempimento in calcestruzzo alleggerito con sovrastante massetto in calcestruzzo a dosaggio armato con rete elettrosaldata ancorata ai muri portanti. </w:t>
      </w:r>
    </w:p>
    <w:p w14:paraId="4C77D55C" w14:textId="77777777" w:rsidR="00D84FE2" w:rsidRDefault="00D84FE2">
      <w:pPr>
        <w:spacing w:line="360" w:lineRule="auto"/>
        <w:jc w:val="both"/>
      </w:pPr>
      <w:r>
        <w:t>Intervento realizzato attraverso la seguente sequenza di operazioni da svolgersi secondo le necessità del lavoro:</w:t>
      </w:r>
    </w:p>
    <w:p w14:paraId="2C4107C9" w14:textId="77777777" w:rsidR="00D84FE2" w:rsidRDefault="00D84FE2">
      <w:pPr>
        <w:numPr>
          <w:ilvl w:val="0"/>
          <w:numId w:val="4"/>
        </w:numPr>
        <w:tabs>
          <w:tab w:val="clear" w:pos="720"/>
        </w:tabs>
        <w:spacing w:line="360" w:lineRule="auto"/>
        <w:ind w:left="360"/>
        <w:jc w:val="both"/>
      </w:pPr>
      <w:r>
        <w:lastRenderedPageBreak/>
        <w:t>Getto di riempimento, fino al livello della chiave di volta, realizzato con conglomerato cementizio a base di argilla espansa formato da 250Kg di cemento 32.5 e 1 mc di argilla espansa.</w:t>
      </w:r>
    </w:p>
    <w:p w14:paraId="55D469EF" w14:textId="77777777" w:rsidR="00D84FE2" w:rsidRDefault="00D84FE2">
      <w:pPr>
        <w:numPr>
          <w:ilvl w:val="0"/>
          <w:numId w:val="4"/>
        </w:numPr>
        <w:tabs>
          <w:tab w:val="clear" w:pos="720"/>
        </w:tabs>
        <w:spacing w:line="360" w:lineRule="auto"/>
        <w:ind w:left="360"/>
        <w:jc w:val="both"/>
      </w:pPr>
      <w:r>
        <w:t>Perforazioni con trapano elettrico di murature portanti in mattoni per inserimento di barre, tiranti metallici e simili, compreso ogni onere e magistero di approntamento del macchinario.</w:t>
      </w:r>
    </w:p>
    <w:p w14:paraId="50F0CD57" w14:textId="77777777" w:rsidR="00D84FE2" w:rsidRDefault="00D84FE2">
      <w:pPr>
        <w:numPr>
          <w:ilvl w:val="0"/>
          <w:numId w:val="4"/>
        </w:numPr>
        <w:tabs>
          <w:tab w:val="clear" w:pos="720"/>
        </w:tabs>
        <w:spacing w:line="360" w:lineRule="auto"/>
        <w:ind w:left="360"/>
        <w:jc w:val="both"/>
      </w:pPr>
      <w:r>
        <w:t>Bare di acciaio alettato o ritorto ad aderenza migliorata, con carico di snervamento di 50 Kg/</w:t>
      </w:r>
      <w:proofErr w:type="spellStart"/>
      <w:r>
        <w:t>mmq</w:t>
      </w:r>
      <w:proofErr w:type="spellEnd"/>
      <w:r>
        <w:t>, fornite in opera nelle predisposte sedi per ancoraggio della rete elettrosaldata delle eventuali iniezioni di resina necessaria alla loro connessione.</w:t>
      </w:r>
    </w:p>
    <w:p w14:paraId="41026270" w14:textId="77777777" w:rsidR="00D84FE2" w:rsidRDefault="00D84FE2">
      <w:pPr>
        <w:numPr>
          <w:ilvl w:val="0"/>
          <w:numId w:val="4"/>
        </w:numPr>
        <w:tabs>
          <w:tab w:val="clear" w:pos="720"/>
        </w:tabs>
        <w:spacing w:line="360" w:lineRule="auto"/>
        <w:ind w:left="360"/>
        <w:jc w:val="both"/>
      </w:pPr>
      <w:r>
        <w:t>Connessione delle bare di acciaio alle strutture murarie mediante iniezioni di malta cementizio espansiva premiscelata, valutata a foro di iniezioni per una lunghezza massima di 15 cm.</w:t>
      </w:r>
    </w:p>
    <w:p w14:paraId="138748BE" w14:textId="77777777" w:rsidR="00D84FE2" w:rsidRDefault="00D84FE2">
      <w:pPr>
        <w:numPr>
          <w:ilvl w:val="0"/>
          <w:numId w:val="4"/>
        </w:numPr>
        <w:tabs>
          <w:tab w:val="clear" w:pos="720"/>
        </w:tabs>
        <w:spacing w:line="360" w:lineRule="auto"/>
        <w:ind w:left="360"/>
        <w:jc w:val="both"/>
      </w:pPr>
      <w:r>
        <w:t xml:space="preserve">Fornitura in opera di rete in acciaio elettrosaldata a maglia quadra di qualsiasi dimensione, lavorata e tagliata a misura, posta in opera a regola d’arte, compreso ogni sfrido, legature alle barre ancorate alla muratura, distanziatori, </w:t>
      </w:r>
      <w:proofErr w:type="gramStart"/>
      <w:r>
        <w:t>ecc..</w:t>
      </w:r>
      <w:proofErr w:type="gramEnd"/>
    </w:p>
    <w:p w14:paraId="47FE63A2" w14:textId="77777777" w:rsidR="00D84FE2" w:rsidRDefault="00D84FE2">
      <w:pPr>
        <w:numPr>
          <w:ilvl w:val="0"/>
          <w:numId w:val="4"/>
        </w:numPr>
        <w:tabs>
          <w:tab w:val="clear" w:pos="720"/>
        </w:tabs>
        <w:spacing w:line="360" w:lineRule="auto"/>
        <w:ind w:left="360"/>
        <w:jc w:val="both"/>
      </w:pPr>
      <w:r>
        <w:t xml:space="preserve">Conglomerato cementizio, eseguito con Kg 300 di cemento </w:t>
      </w:r>
      <w:proofErr w:type="gramStart"/>
      <w:r>
        <w:t>32.5 ,</w:t>
      </w:r>
      <w:proofErr w:type="gramEnd"/>
      <w:r>
        <w:t xml:space="preserve"> 0.4 mc di sabbia e 0.8 mc di ghiaietto, per formazione di soletta, spessore massimo 8÷10 cm, con rivestimento della rete elettrosaldata.</w:t>
      </w:r>
    </w:p>
    <w:p w14:paraId="05412A0D" w14:textId="77777777" w:rsidR="00D84FE2" w:rsidRDefault="00D84FE2">
      <w:pPr>
        <w:spacing w:line="360" w:lineRule="auto"/>
        <w:jc w:val="both"/>
      </w:pPr>
      <w:r>
        <w:rPr>
          <w:b/>
          <w:bCs/>
        </w:rPr>
        <w:t>2B)</w:t>
      </w:r>
      <w:r>
        <w:t xml:space="preserve"> Formazione del piano orizzontale di posa dei pavimenti sovrastanti le volte a seguito degli interventi di riduzione dei carichi applicati (rimozione delle preesistenti masse di riempimento): realizzazione di muretti di sostegno (frenelli) del piano di posa, posti sull’estradosso della volta ortogonalmente alle generatrici e successiva realizzazione del piano di posa:</w:t>
      </w:r>
    </w:p>
    <w:p w14:paraId="2FF6F34A" w14:textId="77777777" w:rsidR="00D84FE2" w:rsidRDefault="00D84FE2">
      <w:pPr>
        <w:numPr>
          <w:ilvl w:val="0"/>
          <w:numId w:val="5"/>
        </w:numPr>
        <w:tabs>
          <w:tab w:val="clear" w:pos="720"/>
        </w:tabs>
        <w:spacing w:line="360" w:lineRule="auto"/>
        <w:ind w:left="360"/>
        <w:jc w:val="both"/>
      </w:pPr>
      <w:r>
        <w:t>Frenelli in mattoni pieni posti con spessore ad una testa (alternativa alla voce b).</w:t>
      </w:r>
    </w:p>
    <w:p w14:paraId="2FE02B0F" w14:textId="77777777" w:rsidR="00D84FE2" w:rsidRDefault="00D84FE2">
      <w:pPr>
        <w:numPr>
          <w:ilvl w:val="0"/>
          <w:numId w:val="5"/>
        </w:numPr>
        <w:tabs>
          <w:tab w:val="clear" w:pos="720"/>
        </w:tabs>
        <w:spacing w:line="360" w:lineRule="auto"/>
        <w:ind w:left="360"/>
        <w:jc w:val="both"/>
      </w:pPr>
      <w:r>
        <w:t>Frenelli in mattoni forati posti in foglio (alternativa alla voce a).</w:t>
      </w:r>
    </w:p>
    <w:p w14:paraId="45E0BBBC" w14:textId="77777777" w:rsidR="00D84FE2" w:rsidRDefault="00D84FE2">
      <w:pPr>
        <w:numPr>
          <w:ilvl w:val="0"/>
          <w:numId w:val="5"/>
        </w:numPr>
        <w:tabs>
          <w:tab w:val="clear" w:pos="720"/>
        </w:tabs>
        <w:spacing w:line="360" w:lineRule="auto"/>
        <w:ind w:left="360"/>
        <w:jc w:val="both"/>
      </w:pPr>
      <w:r>
        <w:t>Piano di posa in tabelloni forati, spessore 6 cm, forniti e posti in opera sui predisposti frenelli inclusa la formazione della soletta superiore in calcestruzzo, spessore 6 cm, con interposta rete elettrosaldata (alternativa alla voce c).</w:t>
      </w:r>
    </w:p>
    <w:p w14:paraId="598EFA9B" w14:textId="77777777" w:rsidR="00D84FE2" w:rsidRDefault="00D84FE2">
      <w:pPr>
        <w:spacing w:line="360" w:lineRule="auto"/>
        <w:jc w:val="center"/>
      </w:pPr>
      <w:r>
        <w:t>***</w:t>
      </w:r>
    </w:p>
    <w:p w14:paraId="5D30E7F2" w14:textId="77777777" w:rsidR="00D84FE2" w:rsidRDefault="00D84FE2">
      <w:pPr>
        <w:spacing w:line="360" w:lineRule="auto"/>
        <w:jc w:val="both"/>
      </w:pPr>
      <w:r>
        <w:rPr>
          <w:b/>
          <w:bCs/>
        </w:rPr>
        <w:t>3)</w:t>
      </w:r>
      <w:r>
        <w:t xml:space="preserve"> Consolidamento di fondazioni in muratura di mattoni o di pietrame effettuata attraverso la formazione di sottofondazione mediante:</w:t>
      </w:r>
    </w:p>
    <w:p w14:paraId="383F0E60" w14:textId="77777777" w:rsidR="00D84FE2" w:rsidRDefault="00D84FE2">
      <w:pPr>
        <w:spacing w:line="360" w:lineRule="auto"/>
        <w:jc w:val="both"/>
      </w:pPr>
      <w:r>
        <w:t xml:space="preserve">3.1) Cavo preliminare, secondo indicazioni di progetto, fino al piano di spiccato della sottofondazione; scavo di sottofondazione effettuata a mano da eseguirsi a piccoli tratti (per una lunghezza media di 0.9 ÷ 1 m) su uno o entrambi i lati dalla muratura, ove possibile, con uno </w:t>
      </w:r>
      <w:r>
        <w:lastRenderedPageBreak/>
        <w:t>spessore massimo di 50 cm per ciascuna parete di scavo (nel caso di scavo sui due lati della sottofondazione la lavorazione andrà eseguita a settori alternati);</w:t>
      </w:r>
    </w:p>
    <w:p w14:paraId="66173C15" w14:textId="77777777" w:rsidR="00D84FE2" w:rsidRDefault="00D84FE2">
      <w:pPr>
        <w:spacing w:line="360" w:lineRule="auto"/>
        <w:jc w:val="both"/>
      </w:pPr>
      <w:r>
        <w:t>3.2) Realizzazione della sottofondazione come da lettera a) o b);</w:t>
      </w:r>
    </w:p>
    <w:p w14:paraId="2468EF36" w14:textId="77777777" w:rsidR="00D84FE2" w:rsidRDefault="00D84FE2">
      <w:pPr>
        <w:spacing w:line="360" w:lineRule="auto"/>
        <w:jc w:val="both"/>
      </w:pPr>
      <w:r>
        <w:t>3.3) Sigillatura degli interstizi tramite malta fluida di cemento con additivo espansivo iniettata in tubetti portagomma opportunamente inseriti. Compreso ogni onere e magistero per garantire la realizzazione dell’opera a perfetta regola d’arte, nel rispetto della sicurezza e della stabilità delle strutture sovrastanti, con la sola esclusione dello scavo preliminare e delle relative opere provvisionali.</w:t>
      </w:r>
    </w:p>
    <w:p w14:paraId="68ADAE93" w14:textId="77777777" w:rsidR="00D84FE2" w:rsidRDefault="00D84FE2">
      <w:pPr>
        <w:spacing w:line="360" w:lineRule="auto"/>
        <w:jc w:val="both"/>
      </w:pPr>
    </w:p>
    <w:p w14:paraId="6A0F33F0" w14:textId="77777777" w:rsidR="00D84FE2" w:rsidRDefault="00D84FE2">
      <w:pPr>
        <w:numPr>
          <w:ilvl w:val="0"/>
          <w:numId w:val="6"/>
        </w:numPr>
        <w:tabs>
          <w:tab w:val="clear" w:pos="720"/>
        </w:tabs>
        <w:spacing w:line="360" w:lineRule="auto"/>
        <w:ind w:left="360"/>
        <w:jc w:val="both"/>
      </w:pPr>
      <w:r>
        <w:t>Sottofondazione in muratura di mattoni pieni e malta cementizio, compreso il getto di un sottostante strato, di spessore pari a 10 cm, di magrone di calcestruzzo dosato a 100 kg di cemento.</w:t>
      </w:r>
    </w:p>
    <w:p w14:paraId="644865A9" w14:textId="77777777" w:rsidR="00D84FE2" w:rsidRDefault="00D84FE2">
      <w:pPr>
        <w:numPr>
          <w:ilvl w:val="0"/>
          <w:numId w:val="6"/>
        </w:numPr>
        <w:tabs>
          <w:tab w:val="clear" w:pos="720"/>
        </w:tabs>
        <w:spacing w:line="360" w:lineRule="auto"/>
        <w:ind w:left="360"/>
        <w:jc w:val="both"/>
      </w:pPr>
      <w:r>
        <w:t>Sottofondazione in calcestruzzo dosato a 300 kg di cemento compreso l’armatura in barre di acciaio ad aderenza migliorata ed escluse le casserature.</w:t>
      </w:r>
    </w:p>
    <w:p w14:paraId="7D881A91" w14:textId="77777777" w:rsidR="00D84FE2" w:rsidRDefault="00D84FE2">
      <w:pPr>
        <w:pStyle w:val="Pidipagina"/>
        <w:tabs>
          <w:tab w:val="clear" w:pos="4819"/>
          <w:tab w:val="clear" w:pos="9638"/>
        </w:tabs>
        <w:spacing w:line="360" w:lineRule="auto"/>
        <w:jc w:val="both"/>
      </w:pPr>
    </w:p>
    <w:p w14:paraId="69702875" w14:textId="77777777" w:rsidR="00D84FE2" w:rsidRDefault="00D84FE2">
      <w:pPr>
        <w:pStyle w:val="Pidipagina"/>
        <w:tabs>
          <w:tab w:val="clear" w:pos="4819"/>
          <w:tab w:val="clear" w:pos="9638"/>
        </w:tabs>
        <w:spacing w:line="360" w:lineRule="auto"/>
        <w:jc w:val="both"/>
      </w:pPr>
      <w:r>
        <w:t>Firma per approvazione (Alta Direzione</w:t>
      </w:r>
      <w:proofErr w:type="gramStart"/>
      <w:r>
        <w:t xml:space="preserve">):   </w:t>
      </w:r>
      <w:proofErr w:type="gramEnd"/>
      <w:r>
        <w:t>......................................................................…………...</w:t>
      </w:r>
      <w:r>
        <w:tab/>
      </w:r>
      <w:r>
        <w:tab/>
      </w:r>
    </w:p>
    <w:p w14:paraId="0ECCED0B" w14:textId="77777777" w:rsidR="00D84FE2" w:rsidRDefault="00D84FE2">
      <w:pPr>
        <w:spacing w:line="360" w:lineRule="auto"/>
        <w:jc w:val="both"/>
      </w:pPr>
    </w:p>
    <w:sectPr w:rsidR="00D84FE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2F00D" w14:textId="77777777" w:rsidR="0038130D" w:rsidRDefault="0038130D" w:rsidP="00D84FE2">
      <w:r>
        <w:separator/>
      </w:r>
    </w:p>
  </w:endnote>
  <w:endnote w:type="continuationSeparator" w:id="0">
    <w:p w14:paraId="5EC94901" w14:textId="77777777" w:rsidR="0038130D" w:rsidRDefault="0038130D" w:rsidP="00D8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BE7D7" w14:textId="77777777" w:rsidR="0038130D" w:rsidRDefault="0038130D" w:rsidP="00D84FE2">
      <w:r>
        <w:separator/>
      </w:r>
    </w:p>
  </w:footnote>
  <w:footnote w:type="continuationSeparator" w:id="0">
    <w:p w14:paraId="597AA6A5" w14:textId="77777777" w:rsidR="0038130D" w:rsidRDefault="0038130D" w:rsidP="00D8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73205F" w14:paraId="54DC42A0"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48FFB80F" w14:textId="082BE057" w:rsidR="0073205F" w:rsidRDefault="0073205F" w:rsidP="0073205F">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1544E9A6" w14:textId="77777777" w:rsidR="0073205F" w:rsidRDefault="0073205F" w:rsidP="0073205F">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0FC442C0" w14:textId="77777777" w:rsidR="0073205F" w:rsidRDefault="0073205F" w:rsidP="0073205F">
          <w:pPr>
            <w:jc w:val="right"/>
            <w:rPr>
              <w:color w:val="800000"/>
              <w:sz w:val="22"/>
            </w:rPr>
          </w:pPr>
        </w:p>
        <w:p w14:paraId="77417120" w14:textId="77777777" w:rsidR="0073205F" w:rsidRDefault="0073205F" w:rsidP="0073205F">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B</w:t>
          </w:r>
        </w:p>
        <w:p w14:paraId="249DCD5E" w14:textId="77777777" w:rsidR="0073205F" w:rsidRDefault="0073205F" w:rsidP="0073205F">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73205F" w14:paraId="7C6788B9"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20F4C5CD" w14:textId="77777777" w:rsidR="0073205F" w:rsidRDefault="0073205F" w:rsidP="0073205F">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6954FC7F" w14:textId="77777777" w:rsidR="0073205F" w:rsidRDefault="0073205F" w:rsidP="0073205F">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5</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5</w:t>
          </w:r>
          <w:r>
            <w:rPr>
              <w:rFonts w:ascii="Times New Roman" w:hAnsi="Times New Roman" w:cs="Times New Roman"/>
              <w:color w:val="800000"/>
            </w:rPr>
            <w:fldChar w:fldCharType="end"/>
          </w:r>
        </w:p>
      </w:tc>
    </w:tr>
  </w:tbl>
  <w:p w14:paraId="2AF51353" w14:textId="77777777" w:rsidR="00D84FE2" w:rsidRDefault="00D84F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762E"/>
    <w:multiLevelType w:val="hybridMultilevel"/>
    <w:tmpl w:val="A73063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E5E68E9"/>
    <w:multiLevelType w:val="hybridMultilevel"/>
    <w:tmpl w:val="405A4BC6"/>
    <w:lvl w:ilvl="0" w:tplc="4B50CA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360DC"/>
    <w:multiLevelType w:val="hybridMultilevel"/>
    <w:tmpl w:val="C076EA1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45D6082"/>
    <w:multiLevelType w:val="hybridMultilevel"/>
    <w:tmpl w:val="ED1616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58452C6"/>
    <w:multiLevelType w:val="hybridMultilevel"/>
    <w:tmpl w:val="583A147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24945546">
    <w:abstractNumId w:val="4"/>
  </w:num>
  <w:num w:numId="2" w16cid:durableId="126438543">
    <w:abstractNumId w:val="1"/>
  </w:num>
  <w:num w:numId="3" w16cid:durableId="1511291898">
    <w:abstractNumId w:val="3"/>
  </w:num>
  <w:num w:numId="4" w16cid:durableId="2146388384">
    <w:abstractNumId w:val="2"/>
  </w:num>
  <w:num w:numId="5" w16cid:durableId="1244560872">
    <w:abstractNumId w:val="5"/>
  </w:num>
  <w:num w:numId="6" w16cid:durableId="207585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32"/>
    <w:rsid w:val="0038130D"/>
    <w:rsid w:val="0073205F"/>
    <w:rsid w:val="00CD2BA7"/>
    <w:rsid w:val="00D84FE2"/>
    <w:rsid w:val="00DF2E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3FB41"/>
  <w15:chartTrackingRefBased/>
  <w15:docId w15:val="{7E3767B7-D9BE-4196-9BF3-3CDE803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2015-09-16T10:29:00Z</cp:lastPrinted>
  <dcterms:created xsi:type="dcterms:W3CDTF">2024-05-07T16:00:00Z</dcterms:created>
  <dcterms:modified xsi:type="dcterms:W3CDTF">2024-05-07T16:00:00Z</dcterms:modified>
</cp:coreProperties>
</file>