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9EFF2" w14:textId="77E75C0D" w:rsidR="002D5479" w:rsidRPr="00DF29D5" w:rsidRDefault="009A1D0D" w:rsidP="002D5479">
      <w:pPr>
        <w:jc w:val="center"/>
        <w:rPr>
          <w:rFonts w:ascii="Calibri" w:hAnsi="Calibri" w:cs="Calibri"/>
        </w:rPr>
      </w:pPr>
      <w:r>
        <w:rPr>
          <w:rStyle w:val="lev"/>
          <w:rFonts w:ascii="Calibri" w:hAnsi="Calibri" w:cs="Calibri"/>
          <w:sz w:val="96"/>
          <w:szCs w:val="96"/>
        </w:rPr>
        <w:t>COMPTE RENDU DE REVUE DE DIRECTION</w:t>
      </w:r>
      <w:r w:rsidR="002D5479" w:rsidRPr="00DF29D5">
        <w:rPr>
          <w:rFonts w:ascii="Calibri" w:hAnsi="Calibri" w:cs="Calibri"/>
        </w:rPr>
        <w:br/>
      </w:r>
      <w:r w:rsidR="002D5479">
        <w:rPr>
          <w:rStyle w:val="lev"/>
          <w:rFonts w:ascii="Calibri" w:hAnsi="Calibri" w:cs="Calibri"/>
          <w:sz w:val="72"/>
          <w:szCs w:val="72"/>
        </w:rPr>
        <w:t>ISO 9001</w:t>
      </w:r>
      <w:r w:rsidR="002D5479" w:rsidRPr="009A5791">
        <w:rPr>
          <w:rFonts w:ascii="Calibri" w:hAnsi="Calibri" w:cs="Calibri"/>
          <w:sz w:val="72"/>
          <w:szCs w:val="72"/>
        </w:rPr>
        <w:br/>
      </w:r>
      <w:r w:rsidR="002D5479" w:rsidRPr="009A5791">
        <w:rPr>
          <w:rFonts w:ascii="Calibri" w:hAnsi="Calibri" w:cs="Calibri"/>
          <w:sz w:val="72"/>
          <w:szCs w:val="72"/>
        </w:rPr>
        <w:br/>
      </w:r>
    </w:p>
    <w:p w14:paraId="0B970CEE" w14:textId="77777777" w:rsidR="002D5479" w:rsidRPr="00DF29D5" w:rsidRDefault="002D5479" w:rsidP="002D5479">
      <w:pPr>
        <w:jc w:val="both"/>
        <w:rPr>
          <w:rFonts w:ascii="Calibri" w:hAnsi="Calibri" w:cs="Calibri"/>
        </w:rPr>
      </w:pPr>
    </w:p>
    <w:p w14:paraId="3CD7BD3C" w14:textId="77777777" w:rsidR="002D5479" w:rsidRPr="00DF29D5" w:rsidRDefault="002D5479" w:rsidP="002D5479">
      <w:pPr>
        <w:jc w:val="both"/>
        <w:rPr>
          <w:rFonts w:ascii="Calibri" w:hAnsi="Calibri" w:cs="Calibri"/>
        </w:rPr>
      </w:pPr>
    </w:p>
    <w:p w14:paraId="3B83782B" w14:textId="77777777" w:rsidR="002D5479" w:rsidRPr="00DF29D5" w:rsidRDefault="002D5479" w:rsidP="002D5479">
      <w:pPr>
        <w:jc w:val="both"/>
        <w:rPr>
          <w:rFonts w:ascii="Calibri" w:hAnsi="Calibri" w:cs="Calibri"/>
        </w:rPr>
      </w:pPr>
    </w:p>
    <w:p w14:paraId="3DA5ED80" w14:textId="77777777" w:rsidR="002D5479" w:rsidRPr="00DF29D5" w:rsidRDefault="002D5479" w:rsidP="002D5479">
      <w:pPr>
        <w:jc w:val="both"/>
        <w:rPr>
          <w:rFonts w:ascii="Calibri" w:hAnsi="Calibri" w:cs="Calibri"/>
        </w:rPr>
      </w:pPr>
      <w:r>
        <w:rPr>
          <w:rFonts w:ascii="Calibri" w:hAnsi="Calibri" w:cs="Calibri"/>
          <w:noProof/>
        </w:rPr>
        <w:drawing>
          <wp:inline distT="0" distB="0" distL="0" distR="0" wp14:anchorId="0B8A6431" wp14:editId="57325948">
            <wp:extent cx="5737434" cy="1765364"/>
            <wp:effectExtent l="0" t="0" r="0" b="6350"/>
            <wp:docPr id="1825658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5884" name="Image 182565884"/>
                    <pic:cNvPicPr/>
                  </pic:nvPicPr>
                  <pic:blipFill>
                    <a:blip r:embed="rId5">
                      <a:extLst>
                        <a:ext uri="{28A0092B-C50C-407E-A947-70E740481C1C}">
                          <a14:useLocalDpi xmlns:a14="http://schemas.microsoft.com/office/drawing/2010/main" val="0"/>
                        </a:ext>
                      </a:extLst>
                    </a:blip>
                    <a:stretch>
                      <a:fillRect/>
                    </a:stretch>
                  </pic:blipFill>
                  <pic:spPr>
                    <a:xfrm>
                      <a:off x="0" y="0"/>
                      <a:ext cx="5787518" cy="1780775"/>
                    </a:xfrm>
                    <a:prstGeom prst="rect">
                      <a:avLst/>
                    </a:prstGeom>
                  </pic:spPr>
                </pic:pic>
              </a:graphicData>
            </a:graphic>
          </wp:inline>
        </w:drawing>
      </w:r>
    </w:p>
    <w:p w14:paraId="21952636" w14:textId="77777777" w:rsidR="002D5479" w:rsidRPr="00DF29D5" w:rsidRDefault="002D5479" w:rsidP="002D5479">
      <w:pPr>
        <w:jc w:val="both"/>
        <w:rPr>
          <w:rFonts w:ascii="Calibri" w:hAnsi="Calibri" w:cs="Calibri"/>
        </w:rPr>
      </w:pPr>
    </w:p>
    <w:p w14:paraId="71E7AFDE" w14:textId="77777777" w:rsidR="002D5479" w:rsidRPr="00DF29D5" w:rsidRDefault="002D5479" w:rsidP="002D5479">
      <w:pPr>
        <w:jc w:val="both"/>
        <w:rPr>
          <w:rFonts w:ascii="Calibri" w:hAnsi="Calibri" w:cs="Calibri"/>
        </w:rPr>
      </w:pPr>
    </w:p>
    <w:p w14:paraId="6052D813" w14:textId="77777777" w:rsidR="002D5479" w:rsidRPr="00DF29D5" w:rsidRDefault="002D5479" w:rsidP="002D5479">
      <w:pPr>
        <w:jc w:val="both"/>
        <w:rPr>
          <w:rFonts w:ascii="Calibri" w:hAnsi="Calibri" w:cs="Calibri"/>
        </w:rPr>
      </w:pPr>
    </w:p>
    <w:p w14:paraId="653837A1" w14:textId="77777777" w:rsidR="002D5479" w:rsidRDefault="002D5479" w:rsidP="002D5479">
      <w:pPr>
        <w:spacing w:before="100" w:beforeAutospacing="1" w:after="100" w:afterAutospacing="1" w:line="240" w:lineRule="auto"/>
        <w:jc w:val="both"/>
        <w:outlineLvl w:val="0"/>
        <w:rPr>
          <w:rFonts w:ascii="Calibri" w:hAnsi="Calibri" w:cs="Calibri"/>
        </w:rPr>
      </w:pPr>
    </w:p>
    <w:p w14:paraId="38BAF674" w14:textId="77777777" w:rsidR="002D5479" w:rsidRDefault="002D5479" w:rsidP="002D5479">
      <w:pPr>
        <w:spacing w:before="100" w:beforeAutospacing="1" w:after="100" w:afterAutospacing="1" w:line="240" w:lineRule="auto"/>
        <w:jc w:val="both"/>
        <w:outlineLvl w:val="0"/>
        <w:rPr>
          <w:rFonts w:ascii="Calibri" w:hAnsi="Calibri" w:cs="Calibri"/>
        </w:rPr>
      </w:pPr>
    </w:p>
    <w:p w14:paraId="74CD07BE" w14:textId="77777777" w:rsidR="002D5479" w:rsidRDefault="002D5479" w:rsidP="000C45E6">
      <w:pPr>
        <w:spacing w:before="100" w:beforeAutospacing="1" w:after="100" w:afterAutospacing="1" w:line="240" w:lineRule="auto"/>
        <w:outlineLvl w:val="0"/>
        <w:rPr>
          <w:rFonts w:ascii="Calibri" w:eastAsia="Times New Roman" w:hAnsi="Calibri" w:cs="Calibri"/>
          <w:b/>
          <w:bCs/>
          <w:kern w:val="36"/>
          <w:lang w:eastAsia="fr-FR"/>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
        <w:gridCol w:w="1154"/>
        <w:gridCol w:w="2040"/>
        <w:gridCol w:w="1141"/>
        <w:gridCol w:w="1395"/>
      </w:tblGrid>
      <w:tr w:rsidR="002D5479" w:rsidRPr="002D5479" w14:paraId="45E90E47" w14:textId="77777777">
        <w:trPr>
          <w:tblHeader/>
          <w:tblCellSpacing w:w="15" w:type="dxa"/>
        </w:trPr>
        <w:tc>
          <w:tcPr>
            <w:tcW w:w="0" w:type="auto"/>
            <w:vAlign w:val="center"/>
            <w:hideMark/>
          </w:tcPr>
          <w:p w14:paraId="4C28EBC4" w14:textId="77777777" w:rsidR="002D5479" w:rsidRPr="002D5479" w:rsidRDefault="002D5479" w:rsidP="002D5479">
            <w:pPr>
              <w:spacing w:after="0" w:line="240" w:lineRule="auto"/>
              <w:jc w:val="center"/>
              <w:rPr>
                <w:rFonts w:ascii="Times New Roman" w:eastAsia="Times New Roman" w:hAnsi="Times New Roman" w:cs="Times New Roman"/>
                <w:b/>
                <w:bCs/>
                <w:kern w:val="0"/>
                <w:lang w:eastAsia="fr-FR"/>
                <w14:ligatures w14:val="none"/>
              </w:rPr>
            </w:pPr>
            <w:r w:rsidRPr="002D5479">
              <w:rPr>
                <w:rFonts w:ascii="Times New Roman" w:eastAsia="Times New Roman" w:hAnsi="Times New Roman" w:cs="Times New Roman"/>
                <w:b/>
                <w:bCs/>
                <w:kern w:val="0"/>
                <w:lang w:eastAsia="fr-FR"/>
                <w14:ligatures w14:val="none"/>
              </w:rPr>
              <w:t>Version</w:t>
            </w:r>
          </w:p>
        </w:tc>
        <w:tc>
          <w:tcPr>
            <w:tcW w:w="0" w:type="auto"/>
            <w:vAlign w:val="center"/>
            <w:hideMark/>
          </w:tcPr>
          <w:p w14:paraId="58E9A800" w14:textId="77777777" w:rsidR="002D5479" w:rsidRPr="002D5479" w:rsidRDefault="002D5479" w:rsidP="002D5479">
            <w:pPr>
              <w:spacing w:after="0" w:line="240" w:lineRule="auto"/>
              <w:jc w:val="center"/>
              <w:rPr>
                <w:rFonts w:ascii="Times New Roman" w:eastAsia="Times New Roman" w:hAnsi="Times New Roman" w:cs="Times New Roman"/>
                <w:b/>
                <w:bCs/>
                <w:kern w:val="0"/>
                <w:lang w:eastAsia="fr-FR"/>
                <w14:ligatures w14:val="none"/>
              </w:rPr>
            </w:pPr>
            <w:r w:rsidRPr="002D5479">
              <w:rPr>
                <w:rFonts w:ascii="Times New Roman" w:eastAsia="Times New Roman" w:hAnsi="Times New Roman" w:cs="Times New Roman"/>
                <w:b/>
                <w:bCs/>
                <w:kern w:val="0"/>
                <w:lang w:eastAsia="fr-FR"/>
                <w14:ligatures w14:val="none"/>
              </w:rPr>
              <w:t>Date</w:t>
            </w:r>
          </w:p>
        </w:tc>
        <w:tc>
          <w:tcPr>
            <w:tcW w:w="0" w:type="auto"/>
            <w:vAlign w:val="center"/>
            <w:hideMark/>
          </w:tcPr>
          <w:p w14:paraId="16DEF420" w14:textId="77777777" w:rsidR="002D5479" w:rsidRPr="002D5479" w:rsidRDefault="002D5479" w:rsidP="002D5479">
            <w:pPr>
              <w:spacing w:after="0" w:line="240" w:lineRule="auto"/>
              <w:jc w:val="center"/>
              <w:rPr>
                <w:rFonts w:ascii="Times New Roman" w:eastAsia="Times New Roman" w:hAnsi="Times New Roman" w:cs="Times New Roman"/>
                <w:b/>
                <w:bCs/>
                <w:kern w:val="0"/>
                <w:lang w:eastAsia="fr-FR"/>
                <w14:ligatures w14:val="none"/>
              </w:rPr>
            </w:pPr>
            <w:r w:rsidRPr="002D5479">
              <w:rPr>
                <w:rFonts w:ascii="Times New Roman" w:eastAsia="Times New Roman" w:hAnsi="Times New Roman" w:cs="Times New Roman"/>
                <w:b/>
                <w:bCs/>
                <w:kern w:val="0"/>
                <w:lang w:eastAsia="fr-FR"/>
                <w14:ligatures w14:val="none"/>
              </w:rPr>
              <w:t>Auteur</w:t>
            </w:r>
          </w:p>
        </w:tc>
        <w:tc>
          <w:tcPr>
            <w:tcW w:w="0" w:type="auto"/>
            <w:vAlign w:val="center"/>
            <w:hideMark/>
          </w:tcPr>
          <w:p w14:paraId="0248273A" w14:textId="77777777" w:rsidR="002D5479" w:rsidRPr="002D5479" w:rsidRDefault="002D5479" w:rsidP="002D5479">
            <w:pPr>
              <w:spacing w:after="0" w:line="240" w:lineRule="auto"/>
              <w:jc w:val="center"/>
              <w:rPr>
                <w:rFonts w:ascii="Times New Roman" w:eastAsia="Times New Roman" w:hAnsi="Times New Roman" w:cs="Times New Roman"/>
                <w:b/>
                <w:bCs/>
                <w:kern w:val="0"/>
                <w:lang w:eastAsia="fr-FR"/>
                <w14:ligatures w14:val="none"/>
              </w:rPr>
            </w:pPr>
            <w:r w:rsidRPr="002D5479">
              <w:rPr>
                <w:rFonts w:ascii="Times New Roman" w:eastAsia="Times New Roman" w:hAnsi="Times New Roman" w:cs="Times New Roman"/>
                <w:b/>
                <w:bCs/>
                <w:kern w:val="0"/>
                <w:lang w:eastAsia="fr-FR"/>
                <w14:ligatures w14:val="none"/>
              </w:rPr>
              <w:t>Validation</w:t>
            </w:r>
          </w:p>
        </w:tc>
        <w:tc>
          <w:tcPr>
            <w:tcW w:w="0" w:type="auto"/>
            <w:vAlign w:val="center"/>
            <w:hideMark/>
          </w:tcPr>
          <w:p w14:paraId="25158702" w14:textId="77777777" w:rsidR="002D5479" w:rsidRPr="002D5479" w:rsidRDefault="002D5479" w:rsidP="002D5479">
            <w:pPr>
              <w:spacing w:after="0" w:line="240" w:lineRule="auto"/>
              <w:jc w:val="center"/>
              <w:rPr>
                <w:rFonts w:ascii="Times New Roman" w:eastAsia="Times New Roman" w:hAnsi="Times New Roman" w:cs="Times New Roman"/>
                <w:b/>
                <w:bCs/>
                <w:kern w:val="0"/>
                <w:lang w:eastAsia="fr-FR"/>
                <w14:ligatures w14:val="none"/>
              </w:rPr>
            </w:pPr>
            <w:r w:rsidRPr="002D5479">
              <w:rPr>
                <w:rFonts w:ascii="Times New Roman" w:eastAsia="Times New Roman" w:hAnsi="Times New Roman" w:cs="Times New Roman"/>
                <w:b/>
                <w:bCs/>
                <w:kern w:val="0"/>
                <w:lang w:eastAsia="fr-FR"/>
                <w14:ligatures w14:val="none"/>
              </w:rPr>
              <w:t>Modification</w:t>
            </w:r>
          </w:p>
        </w:tc>
      </w:tr>
      <w:tr w:rsidR="002D5479" w:rsidRPr="002D5479" w14:paraId="23A862F0" w14:textId="77777777">
        <w:trPr>
          <w:tblCellSpacing w:w="15" w:type="dxa"/>
        </w:trPr>
        <w:tc>
          <w:tcPr>
            <w:tcW w:w="0" w:type="auto"/>
            <w:vAlign w:val="center"/>
            <w:hideMark/>
          </w:tcPr>
          <w:p w14:paraId="18D58D44" w14:textId="77777777" w:rsidR="002D5479" w:rsidRPr="002D5479" w:rsidRDefault="002D5479" w:rsidP="002D5479">
            <w:pPr>
              <w:spacing w:after="0" w:line="240" w:lineRule="auto"/>
              <w:rPr>
                <w:rFonts w:ascii="Times New Roman" w:eastAsia="Times New Roman" w:hAnsi="Times New Roman" w:cs="Times New Roman"/>
                <w:kern w:val="0"/>
                <w:lang w:eastAsia="fr-FR"/>
                <w14:ligatures w14:val="none"/>
              </w:rPr>
            </w:pPr>
            <w:r w:rsidRPr="002D5479">
              <w:rPr>
                <w:rFonts w:ascii="Times New Roman" w:eastAsia="Times New Roman" w:hAnsi="Times New Roman" w:cs="Times New Roman"/>
                <w:kern w:val="0"/>
                <w:lang w:eastAsia="fr-FR"/>
                <w14:ligatures w14:val="none"/>
              </w:rPr>
              <w:t>1.0</w:t>
            </w:r>
          </w:p>
        </w:tc>
        <w:tc>
          <w:tcPr>
            <w:tcW w:w="0" w:type="auto"/>
            <w:vAlign w:val="center"/>
            <w:hideMark/>
          </w:tcPr>
          <w:p w14:paraId="53992A84" w14:textId="55EA5478" w:rsidR="002D5479" w:rsidRPr="002D5479" w:rsidRDefault="00A3033A" w:rsidP="002D5479">
            <w:pPr>
              <w:spacing w:after="0"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30</w:t>
            </w:r>
            <w:r w:rsidR="002D5479" w:rsidRPr="002D5479">
              <w:rPr>
                <w:rFonts w:ascii="Times New Roman" w:eastAsia="Times New Roman" w:hAnsi="Times New Roman" w:cs="Times New Roman"/>
                <w:kern w:val="0"/>
                <w:lang w:eastAsia="fr-FR"/>
                <w14:ligatures w14:val="none"/>
              </w:rPr>
              <w:t>/</w:t>
            </w:r>
            <w:r>
              <w:rPr>
                <w:rFonts w:ascii="Times New Roman" w:eastAsia="Times New Roman" w:hAnsi="Times New Roman" w:cs="Times New Roman"/>
                <w:kern w:val="0"/>
                <w:lang w:eastAsia="fr-FR"/>
                <w14:ligatures w14:val="none"/>
              </w:rPr>
              <w:t>06</w:t>
            </w:r>
            <w:r w:rsidR="002D5479" w:rsidRPr="002D5479">
              <w:rPr>
                <w:rFonts w:ascii="Times New Roman" w:eastAsia="Times New Roman" w:hAnsi="Times New Roman" w:cs="Times New Roman"/>
                <w:kern w:val="0"/>
                <w:lang w:eastAsia="fr-FR"/>
                <w14:ligatures w14:val="none"/>
              </w:rPr>
              <w:t>/2026</w:t>
            </w:r>
          </w:p>
        </w:tc>
        <w:tc>
          <w:tcPr>
            <w:tcW w:w="0" w:type="auto"/>
            <w:vAlign w:val="center"/>
            <w:hideMark/>
          </w:tcPr>
          <w:p w14:paraId="3600E85D" w14:textId="77777777" w:rsidR="002D5479" w:rsidRPr="002D5479" w:rsidRDefault="002D5479" w:rsidP="002D5479">
            <w:pPr>
              <w:spacing w:after="0" w:line="240" w:lineRule="auto"/>
              <w:rPr>
                <w:rFonts w:ascii="Times New Roman" w:eastAsia="Times New Roman" w:hAnsi="Times New Roman" w:cs="Times New Roman"/>
                <w:kern w:val="0"/>
                <w:lang w:eastAsia="fr-FR"/>
                <w14:ligatures w14:val="none"/>
              </w:rPr>
            </w:pPr>
            <w:r w:rsidRPr="002D5479">
              <w:rPr>
                <w:rFonts w:ascii="Times New Roman" w:eastAsia="Times New Roman" w:hAnsi="Times New Roman" w:cs="Times New Roman"/>
                <w:kern w:val="0"/>
                <w:lang w:eastAsia="fr-FR"/>
                <w14:ligatures w14:val="none"/>
              </w:rPr>
              <w:t>Responsable Qualité</w:t>
            </w:r>
          </w:p>
        </w:tc>
        <w:tc>
          <w:tcPr>
            <w:tcW w:w="0" w:type="auto"/>
            <w:vAlign w:val="center"/>
            <w:hideMark/>
          </w:tcPr>
          <w:p w14:paraId="5BDF0C87" w14:textId="77777777" w:rsidR="002D5479" w:rsidRPr="002D5479" w:rsidRDefault="002D5479" w:rsidP="002D5479">
            <w:pPr>
              <w:spacing w:after="0" w:line="240" w:lineRule="auto"/>
              <w:rPr>
                <w:rFonts w:ascii="Times New Roman" w:eastAsia="Times New Roman" w:hAnsi="Times New Roman" w:cs="Times New Roman"/>
                <w:kern w:val="0"/>
                <w:lang w:eastAsia="fr-FR"/>
                <w14:ligatures w14:val="none"/>
              </w:rPr>
            </w:pPr>
            <w:r w:rsidRPr="002D5479">
              <w:rPr>
                <w:rFonts w:ascii="Times New Roman" w:eastAsia="Times New Roman" w:hAnsi="Times New Roman" w:cs="Times New Roman"/>
                <w:kern w:val="0"/>
                <w:lang w:eastAsia="fr-FR"/>
                <w14:ligatures w14:val="none"/>
              </w:rPr>
              <w:t>Direction</w:t>
            </w:r>
          </w:p>
        </w:tc>
        <w:tc>
          <w:tcPr>
            <w:tcW w:w="0" w:type="auto"/>
            <w:vAlign w:val="center"/>
            <w:hideMark/>
          </w:tcPr>
          <w:p w14:paraId="16F08198" w14:textId="77777777" w:rsidR="002D5479" w:rsidRPr="002D5479" w:rsidRDefault="002D5479" w:rsidP="002D5479">
            <w:pPr>
              <w:spacing w:after="0" w:line="240" w:lineRule="auto"/>
              <w:rPr>
                <w:rFonts w:ascii="Times New Roman" w:eastAsia="Times New Roman" w:hAnsi="Times New Roman" w:cs="Times New Roman"/>
                <w:kern w:val="0"/>
                <w:lang w:eastAsia="fr-FR"/>
                <w14:ligatures w14:val="none"/>
              </w:rPr>
            </w:pPr>
            <w:r w:rsidRPr="002D5479">
              <w:rPr>
                <w:rFonts w:ascii="Times New Roman" w:eastAsia="Times New Roman" w:hAnsi="Times New Roman" w:cs="Times New Roman"/>
                <w:kern w:val="0"/>
                <w:lang w:eastAsia="fr-FR"/>
                <w14:ligatures w14:val="none"/>
              </w:rPr>
              <w:t>Création</w:t>
            </w:r>
          </w:p>
        </w:tc>
      </w:tr>
    </w:tbl>
    <w:p w14:paraId="445FFAD1"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lastRenderedPageBreak/>
        <w:t>1. Participants</w:t>
      </w:r>
    </w:p>
    <w:p w14:paraId="3125F4A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Présents :</w:t>
      </w:r>
    </w:p>
    <w:p w14:paraId="1827D98E" w14:textId="0A1F1EFF"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Direction</w:t>
      </w:r>
      <w:r w:rsidR="00A3033A">
        <w:rPr>
          <w:rFonts w:ascii="Calibri" w:eastAsia="Times New Roman" w:hAnsi="Calibri" w:cs="Calibri"/>
          <w:kern w:val="0"/>
          <w:lang w:eastAsia="fr-FR"/>
          <w14:ligatures w14:val="none"/>
        </w:rPr>
        <w:t> : Adrien JANNEL</w:t>
      </w:r>
    </w:p>
    <w:p w14:paraId="4BD1CE1D" w14:textId="2DD43266"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Responsable Qualité / Responsable Pédagogique</w:t>
      </w:r>
      <w:r w:rsidR="00A3033A">
        <w:rPr>
          <w:rFonts w:ascii="Calibri" w:eastAsia="Times New Roman" w:hAnsi="Calibri" w:cs="Calibri"/>
          <w:kern w:val="0"/>
          <w:lang w:eastAsia="fr-FR"/>
          <w14:ligatures w14:val="none"/>
        </w:rPr>
        <w:t> : Thibault JACQUES</w:t>
      </w:r>
    </w:p>
    <w:p w14:paraId="4ADD0AD9"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Absents :</w:t>
      </w:r>
    </w:p>
    <w:p w14:paraId="1CF5F84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Néant</w:t>
      </w:r>
    </w:p>
    <w:p w14:paraId="2342A6A5"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2. Objet de la réunion</w:t>
      </w:r>
    </w:p>
    <w:p w14:paraId="4EFFBC2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présente Revue de Direction a pour objet d'évaluer l'efficacité du Système de Management de la Qualité d'ADJAN CONSULTING, de mesurer l'atteinte des objectifs fixés, d'analyser les résultats obtenus et de définir les orientations d'amélioration pour l'exercice à venir.</w:t>
      </w:r>
    </w:p>
    <w:p w14:paraId="43E28840"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3. Analyse du contexte</w:t>
      </w:r>
    </w:p>
    <w:p w14:paraId="6491D5C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L'analyse du contexte réalisée dans le cadre du Manuel Qualité demeure pertinente.</w:t>
      </w:r>
    </w:p>
    <w:p w14:paraId="49C39EB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principaux éléments identifiés sont les suivants :</w:t>
      </w:r>
    </w:p>
    <w:p w14:paraId="70ACC7B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b/>
          <w:bCs/>
          <w:kern w:val="0"/>
          <w:lang w:eastAsia="fr-FR"/>
          <w14:ligatures w14:val="none"/>
        </w:rPr>
        <w:t>Forces</w:t>
      </w:r>
    </w:p>
    <w:p w14:paraId="2F77A82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Expertise reconnue dans la formation professionnelle.</w:t>
      </w:r>
    </w:p>
    <w:p w14:paraId="1C79C73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Réseau de formateurs spécialisés.</w:t>
      </w:r>
    </w:p>
    <w:p w14:paraId="06DD536B"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Organisation agile.</w:t>
      </w:r>
    </w:p>
    <w:p w14:paraId="73D5E4B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Maîtrise des dispositifs de financement.</w:t>
      </w:r>
    </w:p>
    <w:p w14:paraId="6FB35CA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Développement de nouvelles offres de formation.</w:t>
      </w:r>
    </w:p>
    <w:p w14:paraId="4EF734C9"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b/>
          <w:bCs/>
          <w:kern w:val="0"/>
          <w:lang w:eastAsia="fr-FR"/>
          <w14:ligatures w14:val="none"/>
        </w:rPr>
        <w:t>Faiblesses</w:t>
      </w:r>
    </w:p>
    <w:p w14:paraId="7CB0D80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Taille réduite de l'équipe permanente.</w:t>
      </w:r>
    </w:p>
    <w:p w14:paraId="275DBDD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Forte dépendance aux formateurs externes.</w:t>
      </w:r>
    </w:p>
    <w:p w14:paraId="5249E8C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Structuration documentaire récente.</w:t>
      </w:r>
    </w:p>
    <w:p w14:paraId="78731EA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b/>
          <w:bCs/>
          <w:kern w:val="0"/>
          <w:lang w:eastAsia="fr-FR"/>
          <w14:ligatures w14:val="none"/>
        </w:rPr>
        <w:t>Opportunités</w:t>
      </w:r>
    </w:p>
    <w:p w14:paraId="736C1E7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Développement de la certification ISO 9001.</w:t>
      </w:r>
    </w:p>
    <w:p w14:paraId="15D9E32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lastRenderedPageBreak/>
        <w:t>• Croissance des besoins en formation des entreprises.</w:t>
      </w:r>
    </w:p>
    <w:p w14:paraId="62EBDE8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Développement de l'intelligence artificielle.</w:t>
      </w:r>
    </w:p>
    <w:p w14:paraId="0DC4C3F4"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Nouvelles certifications professionnelles.</w:t>
      </w:r>
    </w:p>
    <w:p w14:paraId="509E1220"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b/>
          <w:bCs/>
          <w:kern w:val="0"/>
          <w:lang w:eastAsia="fr-FR"/>
          <w14:ligatures w14:val="none"/>
        </w:rPr>
        <w:t>Menaces</w:t>
      </w:r>
    </w:p>
    <w:p w14:paraId="5B2A2F1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Concurrence accrue.</w:t>
      </w:r>
    </w:p>
    <w:p w14:paraId="7C5D5A8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Évolutions réglementaires.</w:t>
      </w:r>
    </w:p>
    <w:p w14:paraId="24679ADB"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Difficultés de recrutement de formateurs spécialisés.</w:t>
      </w:r>
    </w:p>
    <w:p w14:paraId="35AC8FE9"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estime que ces éléments restent cohérents avec la stratégie de l'organisme.</w:t>
      </w:r>
    </w:p>
    <w:p w14:paraId="3819BB02"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4. Politique Qualité</w:t>
      </w:r>
    </w:p>
    <w:p w14:paraId="4E27FBA4"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Politique Qualité a été présentée et analysée.</w:t>
      </w:r>
    </w:p>
    <w:p w14:paraId="6EED9A1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confirme qu'elle demeure adaptée aux activités, aux enjeux et aux ambitions d'ADJAN CONSULTING.</w:t>
      </w:r>
    </w:p>
    <w:p w14:paraId="2C3D6A8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Aucune modification n'est nécessaire à ce stade.</w:t>
      </w:r>
    </w:p>
    <w:p w14:paraId="4B2D8959"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5. Suivi des objectifs qualité</w:t>
      </w:r>
    </w:p>
    <w:p w14:paraId="2CFB0B4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premiers objectifs qualité sont validés.</w:t>
      </w:r>
    </w:p>
    <w:p w14:paraId="35EC6482"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décide de suivre en priorité :</w:t>
      </w:r>
    </w:p>
    <w:p w14:paraId="48D88E2B"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satisfaction client ;</w:t>
      </w:r>
    </w:p>
    <w:p w14:paraId="36D2D14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satisfaction des bénéficiaires ;</w:t>
      </w:r>
    </w:p>
    <w:p w14:paraId="50B35979"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qualité pédagogique ;</w:t>
      </w:r>
    </w:p>
    <w:p w14:paraId="0B7C5824"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développement commercial ;</w:t>
      </w:r>
    </w:p>
    <w:p w14:paraId="3C4E271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les délais administratifs ;</w:t>
      </w:r>
    </w:p>
    <w:p w14:paraId="1D3F225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les réclamations ;</w:t>
      </w:r>
    </w:p>
    <w:p w14:paraId="1A14E37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les audits internes ;</w:t>
      </w:r>
    </w:p>
    <w:p w14:paraId="2E66CB6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développement des compétences.</w:t>
      </w:r>
    </w:p>
    <w:p w14:paraId="38962EB2"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 suivi sera assuré mensuellement à l'aide du Tableau de Bord de Direction.</w:t>
      </w:r>
    </w:p>
    <w:p w14:paraId="748A3B4D"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lastRenderedPageBreak/>
        <w:t>6. Analyse des indicateurs</w:t>
      </w:r>
    </w:p>
    <w:p w14:paraId="7611F49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premiers indicateurs mis en place sont jugés pertinents.</w:t>
      </w:r>
    </w:p>
    <w:p w14:paraId="29E1AD0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décide de suivre plus particulièrement :</w:t>
      </w:r>
    </w:p>
    <w:p w14:paraId="51B8EEB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taux de satisfaction client ;</w:t>
      </w:r>
    </w:p>
    <w:p w14:paraId="3EA9D8C3"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taux de satisfaction des bénéficiaires ;</w:t>
      </w:r>
    </w:p>
    <w:p w14:paraId="14ED903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délai moyen de réponse aux demandes commerciales ;</w:t>
      </w:r>
    </w:p>
    <w:p w14:paraId="78C2BD4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délai moyen de facturation ;</w:t>
      </w:r>
    </w:p>
    <w:p w14:paraId="61E5816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nombre de réclamations ;</w:t>
      </w:r>
    </w:p>
    <w:p w14:paraId="3CA21014"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nombre de non-conformités ;</w:t>
      </w:r>
    </w:p>
    <w:p w14:paraId="304FA9E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suivi des plans d'actions.</w:t>
      </w:r>
    </w:p>
    <w:p w14:paraId="7B36E10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indicateurs seront consolidés au cours de la première année de fonctionnement du SMQ.</w:t>
      </w:r>
    </w:p>
    <w:p w14:paraId="0364CEE0"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7. Satisfaction des parties intéressées</w:t>
      </w:r>
    </w:p>
    <w:p w14:paraId="4D61135B"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premiers retours des clients et des bénéficiaires sont globalement très satisfaisants.</w:t>
      </w:r>
    </w:p>
    <w:p w14:paraId="20307BC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principaux points forts identifiés sont :</w:t>
      </w:r>
    </w:p>
    <w:p w14:paraId="7F0A36F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qualité des échanges ;</w:t>
      </w:r>
    </w:p>
    <w:p w14:paraId="45EBBD9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disponibilité des équipes ;</w:t>
      </w:r>
    </w:p>
    <w:p w14:paraId="7FD4CFC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expertise des formateurs ;</w:t>
      </w:r>
    </w:p>
    <w:p w14:paraId="2233C62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qualité des contenus pédagogiques.</w:t>
      </w:r>
    </w:p>
    <w:p w14:paraId="3746B83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principaux axes d'amélioration concernent :</w:t>
      </w:r>
    </w:p>
    <w:p w14:paraId="2F16DAB9"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l'harmonisation des supports pédagogiques ;</w:t>
      </w:r>
    </w:p>
    <w:p w14:paraId="1AD1A78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développement de nouveaux outils numériques ;</w:t>
      </w:r>
    </w:p>
    <w:p w14:paraId="7814A1F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renforcement de la communication auprès des clients.</w:t>
      </w:r>
    </w:p>
    <w:p w14:paraId="4A972660"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8. Réclamations</w:t>
      </w:r>
    </w:p>
    <w:p w14:paraId="23A8050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Aucune réclamation majeure n'a été enregistrée sur la période.</w:t>
      </w:r>
    </w:p>
    <w:p w14:paraId="7FD569F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lastRenderedPageBreak/>
        <w:t>Les éventuelles remarques formulées par les clients ont été traitées immédiatement.</w:t>
      </w:r>
    </w:p>
    <w:p w14:paraId="394FA1D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souhaite maintenir cette réactivité.</w:t>
      </w:r>
    </w:p>
    <w:p w14:paraId="3F0199D7"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9. Non-conformités</w:t>
      </w:r>
    </w:p>
    <w:p w14:paraId="3B779EEE"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Aucune non-conformité majeure n'a été identifiée.</w:t>
      </w:r>
    </w:p>
    <w:p w14:paraId="7718D16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Quelques écarts documentaires liés à la mise en place du Système de Management de la Qualité ont été détectés.</w:t>
      </w:r>
    </w:p>
    <w:p w14:paraId="0E27089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Ils sont en cours de traitement.</w:t>
      </w:r>
    </w:p>
    <w:p w14:paraId="0A8108C9"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10. Résultats des audits internes</w:t>
      </w:r>
    </w:p>
    <w:p w14:paraId="133AB38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 premier audit interne est programmé après la finalisation du Système de Management de la Qualité.</w:t>
      </w:r>
    </w:p>
    <w:p w14:paraId="4E0617D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valide le programme annuel d'audit.</w:t>
      </w:r>
    </w:p>
    <w:p w14:paraId="5ACD45C1"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11. Analyse des risques et opportunités</w:t>
      </w:r>
    </w:p>
    <w:p w14:paraId="0FF9F53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risques identifiés dans le registre demeurent maîtrisés.</w:t>
      </w:r>
    </w:p>
    <w:p w14:paraId="03416C12"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principaux risques concernent :</w:t>
      </w:r>
    </w:p>
    <w:p w14:paraId="7FDB924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dépendance aux formateurs externes ;</w:t>
      </w:r>
    </w:p>
    <w:p w14:paraId="2587A04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l'évolution des exigences réglementaires ;</w:t>
      </w:r>
    </w:p>
    <w:p w14:paraId="5F1CF00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croissance de l'activité.</w:t>
      </w:r>
    </w:p>
    <w:p w14:paraId="74321343"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principales opportunités concernent :</w:t>
      </w:r>
    </w:p>
    <w:p w14:paraId="4019EAC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développement commercial ;</w:t>
      </w:r>
    </w:p>
    <w:p w14:paraId="3D517EE2"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l'innovation pédagogique ;</w:t>
      </w:r>
    </w:p>
    <w:p w14:paraId="7A7D77B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la certification ISO 9001 ;</w:t>
      </w:r>
    </w:p>
    <w:p w14:paraId="3A66C2F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le développement des partenariats.</w:t>
      </w:r>
    </w:p>
    <w:p w14:paraId="13520740"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Aucune évolution majeure n'est identifiée.</w:t>
      </w:r>
    </w:p>
    <w:p w14:paraId="4CECD859"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12. Ressources</w:t>
      </w:r>
    </w:p>
    <w:p w14:paraId="3534ADB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ressources actuellement disponibles permettent d'assurer le fonctionnement de l'organisme.</w:t>
      </w:r>
    </w:p>
    <w:p w14:paraId="40F9281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lastRenderedPageBreak/>
        <w:t>Toutefois, la Direction identifie plusieurs besoins :</w:t>
      </w:r>
    </w:p>
    <w:p w14:paraId="3183AF55"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poursuivre la structuration documentaire ;</w:t>
      </w:r>
    </w:p>
    <w:p w14:paraId="23EA137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renforcer les outils numériques ;</w:t>
      </w:r>
    </w:p>
    <w:p w14:paraId="65F98FE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développer les compétences internes ;</w:t>
      </w:r>
    </w:p>
    <w:p w14:paraId="32134CD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enrichir le réseau de formateurs.</w:t>
      </w:r>
    </w:p>
    <w:p w14:paraId="2976BFF9"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13. Veille</w:t>
      </w:r>
    </w:p>
    <w:p w14:paraId="4BAF8953"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dispositifs de veille réglementaire, pédagogique, technologique et métier sont opérationnels.</w:t>
      </w:r>
    </w:p>
    <w:p w14:paraId="28341523"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demande leur formalisation dans une procédure dédiée.</w:t>
      </w:r>
    </w:p>
    <w:p w14:paraId="711BAD56"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14. Amélioration continue</w:t>
      </w:r>
    </w:p>
    <w:p w14:paraId="4DD5C356"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principaux axes d'amélioration retenus sont :</w:t>
      </w:r>
    </w:p>
    <w:p w14:paraId="1CB3A744"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finaliser la documentation du SMQ ;</w:t>
      </w:r>
    </w:p>
    <w:p w14:paraId="33249A32"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mettre en œuvre les audits internes ;</w:t>
      </w:r>
    </w:p>
    <w:p w14:paraId="1E3C3660"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formaliser les procédures opérationnelles ;</w:t>
      </w:r>
    </w:p>
    <w:p w14:paraId="06FEBBE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renforcer le suivi des indicateurs ;</w:t>
      </w:r>
    </w:p>
    <w:p w14:paraId="757C054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harmoniser les supports pédagogiques ;</w:t>
      </w:r>
    </w:p>
    <w:p w14:paraId="31E4607F"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développer le suivi des fournisseurs et des formateurs.</w:t>
      </w:r>
    </w:p>
    <w:p w14:paraId="2156B5FD" w14:textId="77777777"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15. Décisions de la Direction</w:t>
      </w:r>
    </w:p>
    <w:p w14:paraId="16907A30"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l'issue de la présente Revue de Direction, la Direction décide :</w:t>
      </w:r>
    </w:p>
    <w:p w14:paraId="3FAC3DA8"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maintenir la Politique Qualité sans modification ;</w:t>
      </w:r>
    </w:p>
    <w:p w14:paraId="4DC6350A"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confirmer les objectifs qualité définis pour l'exercice ;</w:t>
      </w:r>
    </w:p>
    <w:p w14:paraId="47EDA6C3"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finaliser la documentation ISO 9001 ;</w:t>
      </w:r>
    </w:p>
    <w:p w14:paraId="0323506C"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réaliser un audit interne avant la fin de l'exercice ;</w:t>
      </w:r>
    </w:p>
    <w:p w14:paraId="7CD100F1"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mettre en œuvre le tableau de bord de pilotage ;</w:t>
      </w:r>
    </w:p>
    <w:p w14:paraId="791E2937"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renforcer la veille réglementaire ;</w:t>
      </w:r>
    </w:p>
    <w:p w14:paraId="15202A14" w14:textId="3CA770FE"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lastRenderedPageBreak/>
        <w:t>• de formaliser l'évaluation annuelle des fournisseurs et des formateurs ;</w:t>
      </w:r>
    </w:p>
    <w:p w14:paraId="0DFB07ED" w14:textId="77777777"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 de poursuivre la démarche d'amélioration continue.</w:t>
      </w:r>
    </w:p>
    <w:p w14:paraId="726BCD96" w14:textId="79E06066"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16. Plan d'actions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4"/>
        <w:gridCol w:w="2059"/>
        <w:gridCol w:w="1257"/>
        <w:gridCol w:w="994"/>
      </w:tblGrid>
      <w:tr w:rsidR="00AA45B4" w:rsidRPr="00AA45B4" w14:paraId="16F1C68C" w14:textId="77777777">
        <w:trPr>
          <w:tblHeader/>
          <w:tblCellSpacing w:w="15" w:type="dxa"/>
        </w:trPr>
        <w:tc>
          <w:tcPr>
            <w:tcW w:w="0" w:type="auto"/>
            <w:vAlign w:val="center"/>
            <w:hideMark/>
          </w:tcPr>
          <w:p w14:paraId="2CBAE011" w14:textId="77777777" w:rsidR="00AA45B4" w:rsidRPr="00AA45B4" w:rsidRDefault="00AA45B4" w:rsidP="00AA45B4">
            <w:pPr>
              <w:spacing w:after="0" w:line="240" w:lineRule="auto"/>
              <w:jc w:val="center"/>
              <w:rPr>
                <w:rFonts w:ascii="Calibri" w:eastAsia="Times New Roman" w:hAnsi="Calibri" w:cs="Calibri"/>
                <w:b/>
                <w:bCs/>
                <w:kern w:val="0"/>
                <w:lang w:eastAsia="fr-FR"/>
                <w14:ligatures w14:val="none"/>
              </w:rPr>
            </w:pPr>
            <w:r w:rsidRPr="00AA45B4">
              <w:rPr>
                <w:rFonts w:ascii="Calibri" w:eastAsia="Times New Roman" w:hAnsi="Calibri" w:cs="Calibri"/>
                <w:b/>
                <w:bCs/>
                <w:kern w:val="0"/>
                <w:lang w:eastAsia="fr-FR"/>
                <w14:ligatures w14:val="none"/>
              </w:rPr>
              <w:t>Action</w:t>
            </w:r>
          </w:p>
        </w:tc>
        <w:tc>
          <w:tcPr>
            <w:tcW w:w="0" w:type="auto"/>
            <w:vAlign w:val="center"/>
            <w:hideMark/>
          </w:tcPr>
          <w:p w14:paraId="1832A74C" w14:textId="77777777" w:rsidR="00AA45B4" w:rsidRPr="00AA45B4" w:rsidRDefault="00AA45B4" w:rsidP="00AA45B4">
            <w:pPr>
              <w:spacing w:after="0" w:line="240" w:lineRule="auto"/>
              <w:jc w:val="center"/>
              <w:rPr>
                <w:rFonts w:ascii="Calibri" w:eastAsia="Times New Roman" w:hAnsi="Calibri" w:cs="Calibri"/>
                <w:b/>
                <w:bCs/>
                <w:kern w:val="0"/>
                <w:lang w:eastAsia="fr-FR"/>
                <w14:ligatures w14:val="none"/>
              </w:rPr>
            </w:pPr>
            <w:r w:rsidRPr="00AA45B4">
              <w:rPr>
                <w:rFonts w:ascii="Calibri" w:eastAsia="Times New Roman" w:hAnsi="Calibri" w:cs="Calibri"/>
                <w:b/>
                <w:bCs/>
                <w:kern w:val="0"/>
                <w:lang w:eastAsia="fr-FR"/>
                <w14:ligatures w14:val="none"/>
              </w:rPr>
              <w:t>Responsable</w:t>
            </w:r>
          </w:p>
        </w:tc>
        <w:tc>
          <w:tcPr>
            <w:tcW w:w="0" w:type="auto"/>
            <w:vAlign w:val="center"/>
            <w:hideMark/>
          </w:tcPr>
          <w:p w14:paraId="6A48CE25" w14:textId="77777777" w:rsidR="00AA45B4" w:rsidRPr="00AA45B4" w:rsidRDefault="00AA45B4" w:rsidP="00AA45B4">
            <w:pPr>
              <w:spacing w:after="0" w:line="240" w:lineRule="auto"/>
              <w:jc w:val="center"/>
              <w:rPr>
                <w:rFonts w:ascii="Calibri" w:eastAsia="Times New Roman" w:hAnsi="Calibri" w:cs="Calibri"/>
                <w:b/>
                <w:bCs/>
                <w:kern w:val="0"/>
                <w:lang w:eastAsia="fr-FR"/>
                <w14:ligatures w14:val="none"/>
              </w:rPr>
            </w:pPr>
            <w:r w:rsidRPr="00AA45B4">
              <w:rPr>
                <w:rFonts w:ascii="Calibri" w:eastAsia="Times New Roman" w:hAnsi="Calibri" w:cs="Calibri"/>
                <w:b/>
                <w:bCs/>
                <w:kern w:val="0"/>
                <w:lang w:eastAsia="fr-FR"/>
                <w14:ligatures w14:val="none"/>
              </w:rPr>
              <w:t>Échéance</w:t>
            </w:r>
          </w:p>
        </w:tc>
        <w:tc>
          <w:tcPr>
            <w:tcW w:w="0" w:type="auto"/>
            <w:vAlign w:val="center"/>
            <w:hideMark/>
          </w:tcPr>
          <w:p w14:paraId="061962D9" w14:textId="77777777" w:rsidR="00AA45B4" w:rsidRPr="00AA45B4" w:rsidRDefault="00AA45B4" w:rsidP="00AA45B4">
            <w:pPr>
              <w:spacing w:after="0" w:line="240" w:lineRule="auto"/>
              <w:jc w:val="center"/>
              <w:rPr>
                <w:rFonts w:ascii="Calibri" w:eastAsia="Times New Roman" w:hAnsi="Calibri" w:cs="Calibri"/>
                <w:b/>
                <w:bCs/>
                <w:kern w:val="0"/>
                <w:lang w:eastAsia="fr-FR"/>
                <w14:ligatures w14:val="none"/>
              </w:rPr>
            </w:pPr>
            <w:r w:rsidRPr="00AA45B4">
              <w:rPr>
                <w:rFonts w:ascii="Calibri" w:eastAsia="Times New Roman" w:hAnsi="Calibri" w:cs="Calibri"/>
                <w:b/>
                <w:bCs/>
                <w:kern w:val="0"/>
                <w:lang w:eastAsia="fr-FR"/>
                <w14:ligatures w14:val="none"/>
              </w:rPr>
              <w:t>Statut</w:t>
            </w:r>
          </w:p>
        </w:tc>
      </w:tr>
      <w:tr w:rsidR="00AA45B4" w:rsidRPr="00AA45B4" w14:paraId="4BA8A3D4" w14:textId="77777777">
        <w:trPr>
          <w:tblCellSpacing w:w="15" w:type="dxa"/>
        </w:trPr>
        <w:tc>
          <w:tcPr>
            <w:tcW w:w="0" w:type="auto"/>
            <w:vAlign w:val="center"/>
            <w:hideMark/>
          </w:tcPr>
          <w:p w14:paraId="545AA6AD"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Finaliser le SMQ</w:t>
            </w:r>
          </w:p>
        </w:tc>
        <w:tc>
          <w:tcPr>
            <w:tcW w:w="0" w:type="auto"/>
            <w:vAlign w:val="center"/>
            <w:hideMark/>
          </w:tcPr>
          <w:p w14:paraId="34B90F11"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Responsable Qualité</w:t>
            </w:r>
          </w:p>
        </w:tc>
        <w:tc>
          <w:tcPr>
            <w:tcW w:w="0" w:type="auto"/>
            <w:vAlign w:val="center"/>
            <w:hideMark/>
          </w:tcPr>
          <w:p w14:paraId="3A83DF4F"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701AB542"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En cours</w:t>
            </w:r>
          </w:p>
        </w:tc>
      </w:tr>
      <w:tr w:rsidR="00AA45B4" w:rsidRPr="00AA45B4" w14:paraId="247ECBA5" w14:textId="77777777">
        <w:trPr>
          <w:tblCellSpacing w:w="15" w:type="dxa"/>
        </w:trPr>
        <w:tc>
          <w:tcPr>
            <w:tcW w:w="0" w:type="auto"/>
            <w:vAlign w:val="center"/>
            <w:hideMark/>
          </w:tcPr>
          <w:p w14:paraId="1FA1E9CA"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Réaliser le premier audit interne</w:t>
            </w:r>
          </w:p>
        </w:tc>
        <w:tc>
          <w:tcPr>
            <w:tcW w:w="0" w:type="auto"/>
            <w:vAlign w:val="center"/>
            <w:hideMark/>
          </w:tcPr>
          <w:p w14:paraId="2192A1D5"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Responsable Qualité</w:t>
            </w:r>
          </w:p>
        </w:tc>
        <w:tc>
          <w:tcPr>
            <w:tcW w:w="0" w:type="auto"/>
            <w:vAlign w:val="center"/>
            <w:hideMark/>
          </w:tcPr>
          <w:p w14:paraId="11572BBE"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5835D6D0"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réaliser</w:t>
            </w:r>
          </w:p>
        </w:tc>
      </w:tr>
      <w:tr w:rsidR="00AA45B4" w:rsidRPr="00AA45B4" w14:paraId="51293F11" w14:textId="77777777">
        <w:trPr>
          <w:tblCellSpacing w:w="15" w:type="dxa"/>
        </w:trPr>
        <w:tc>
          <w:tcPr>
            <w:tcW w:w="0" w:type="auto"/>
            <w:vAlign w:val="center"/>
            <w:hideMark/>
          </w:tcPr>
          <w:p w14:paraId="2F5749DE"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Déployer le tableau de bord</w:t>
            </w:r>
          </w:p>
        </w:tc>
        <w:tc>
          <w:tcPr>
            <w:tcW w:w="0" w:type="auto"/>
            <w:vAlign w:val="center"/>
            <w:hideMark/>
          </w:tcPr>
          <w:p w14:paraId="42B983B8"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Direction</w:t>
            </w:r>
          </w:p>
        </w:tc>
        <w:tc>
          <w:tcPr>
            <w:tcW w:w="0" w:type="auto"/>
            <w:vAlign w:val="center"/>
            <w:hideMark/>
          </w:tcPr>
          <w:p w14:paraId="61FEFAEA"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0DECD161"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En cours</w:t>
            </w:r>
          </w:p>
        </w:tc>
      </w:tr>
      <w:tr w:rsidR="00AA45B4" w:rsidRPr="00AA45B4" w14:paraId="265473C3" w14:textId="77777777">
        <w:trPr>
          <w:tblCellSpacing w:w="15" w:type="dxa"/>
        </w:trPr>
        <w:tc>
          <w:tcPr>
            <w:tcW w:w="0" w:type="auto"/>
            <w:vAlign w:val="center"/>
            <w:hideMark/>
          </w:tcPr>
          <w:p w14:paraId="36655E4C"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Formaliser les procédures opérationnelles</w:t>
            </w:r>
          </w:p>
        </w:tc>
        <w:tc>
          <w:tcPr>
            <w:tcW w:w="0" w:type="auto"/>
            <w:vAlign w:val="center"/>
            <w:hideMark/>
          </w:tcPr>
          <w:p w14:paraId="69DF4B65"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Responsable Qualité</w:t>
            </w:r>
          </w:p>
        </w:tc>
        <w:tc>
          <w:tcPr>
            <w:tcW w:w="0" w:type="auto"/>
            <w:vAlign w:val="center"/>
            <w:hideMark/>
          </w:tcPr>
          <w:p w14:paraId="365C4DF7"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0E27C244"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En cours</w:t>
            </w:r>
          </w:p>
        </w:tc>
      </w:tr>
      <w:tr w:rsidR="00AA45B4" w:rsidRPr="00AA45B4" w14:paraId="72F032B8" w14:textId="77777777">
        <w:trPr>
          <w:tblCellSpacing w:w="15" w:type="dxa"/>
        </w:trPr>
        <w:tc>
          <w:tcPr>
            <w:tcW w:w="0" w:type="auto"/>
            <w:vAlign w:val="center"/>
            <w:hideMark/>
          </w:tcPr>
          <w:p w14:paraId="10E9B724"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Mettre en place l'évaluation des fournisseurs</w:t>
            </w:r>
          </w:p>
        </w:tc>
        <w:tc>
          <w:tcPr>
            <w:tcW w:w="0" w:type="auto"/>
            <w:vAlign w:val="center"/>
            <w:hideMark/>
          </w:tcPr>
          <w:p w14:paraId="71239580"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Responsable Qualité</w:t>
            </w:r>
          </w:p>
        </w:tc>
        <w:tc>
          <w:tcPr>
            <w:tcW w:w="0" w:type="auto"/>
            <w:vAlign w:val="center"/>
            <w:hideMark/>
          </w:tcPr>
          <w:p w14:paraId="7D2B3CE4"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7ECBFE85"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réaliser</w:t>
            </w:r>
          </w:p>
        </w:tc>
      </w:tr>
      <w:tr w:rsidR="00AA45B4" w:rsidRPr="00AA45B4" w14:paraId="640B21F3" w14:textId="77777777">
        <w:trPr>
          <w:tblCellSpacing w:w="15" w:type="dxa"/>
        </w:trPr>
        <w:tc>
          <w:tcPr>
            <w:tcW w:w="0" w:type="auto"/>
            <w:vAlign w:val="center"/>
            <w:hideMark/>
          </w:tcPr>
          <w:p w14:paraId="03D6A72C"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Développer les indicateurs de performance</w:t>
            </w:r>
          </w:p>
        </w:tc>
        <w:tc>
          <w:tcPr>
            <w:tcW w:w="0" w:type="auto"/>
            <w:vAlign w:val="center"/>
            <w:hideMark/>
          </w:tcPr>
          <w:p w14:paraId="5CD7ECDE"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Direction</w:t>
            </w:r>
          </w:p>
        </w:tc>
        <w:tc>
          <w:tcPr>
            <w:tcW w:w="0" w:type="auto"/>
            <w:vAlign w:val="center"/>
            <w:hideMark/>
          </w:tcPr>
          <w:p w14:paraId="62A6EF17"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À compléter</w:t>
            </w:r>
          </w:p>
        </w:tc>
        <w:tc>
          <w:tcPr>
            <w:tcW w:w="0" w:type="auto"/>
            <w:vAlign w:val="center"/>
            <w:hideMark/>
          </w:tcPr>
          <w:p w14:paraId="392F3B85" w14:textId="77777777" w:rsidR="00AA45B4" w:rsidRPr="00AA45B4" w:rsidRDefault="00AA45B4" w:rsidP="00AA45B4">
            <w:pPr>
              <w:spacing w:after="0"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En cours</w:t>
            </w:r>
          </w:p>
        </w:tc>
      </w:tr>
    </w:tbl>
    <w:p w14:paraId="1A224FCE" w14:textId="165844C0" w:rsidR="00AA45B4" w:rsidRPr="00AA45B4" w:rsidRDefault="00AA45B4" w:rsidP="00AA45B4">
      <w:pPr>
        <w:spacing w:before="100" w:beforeAutospacing="1" w:after="100" w:afterAutospacing="1" w:line="240" w:lineRule="auto"/>
        <w:outlineLvl w:val="0"/>
        <w:rPr>
          <w:rFonts w:ascii="Calibri" w:eastAsia="Times New Roman" w:hAnsi="Calibri" w:cs="Calibri"/>
          <w:b/>
          <w:bCs/>
          <w:kern w:val="36"/>
          <w:lang w:eastAsia="fr-FR"/>
          <w14:ligatures w14:val="none"/>
        </w:rPr>
      </w:pPr>
      <w:r w:rsidRPr="00AA45B4">
        <w:rPr>
          <w:rFonts w:ascii="Calibri" w:eastAsia="Times New Roman" w:hAnsi="Calibri" w:cs="Calibri"/>
          <w:b/>
          <w:bCs/>
          <w:kern w:val="36"/>
          <w:lang w:eastAsia="fr-FR"/>
          <w14:ligatures w14:val="none"/>
        </w:rPr>
        <w:t>17. Conclusion</w:t>
      </w:r>
    </w:p>
    <w:p w14:paraId="315C5439" w14:textId="10E22D68"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considère que le Système de Management de la Qualité est désormais structuré et conforme aux orientations stratégiques d'ADJAN CONSULTING.</w:t>
      </w:r>
    </w:p>
    <w:p w14:paraId="3E17E600" w14:textId="379FBB66"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Les premiers outils de pilotage sont en place et permettront d'assurer un suivi régulier des performances de l'organisme.</w:t>
      </w:r>
    </w:p>
    <w:p w14:paraId="35DF58EE" w14:textId="1D140E7C"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Direction réaffirme son engagement dans la démarche ISO 9001 et confirme sa volonté de faire de l'amélioration continue un axe majeur de développement.</w:t>
      </w:r>
    </w:p>
    <w:p w14:paraId="54636E83" w14:textId="22B87A0A" w:rsidR="00AA45B4" w:rsidRPr="00AA45B4" w:rsidRDefault="00AA45B4" w:rsidP="00AA45B4">
      <w:pPr>
        <w:spacing w:before="100" w:beforeAutospacing="1" w:after="100" w:afterAutospacing="1" w:line="240" w:lineRule="auto"/>
        <w:rPr>
          <w:rFonts w:ascii="Calibri" w:eastAsia="Times New Roman" w:hAnsi="Calibri" w:cs="Calibri"/>
          <w:kern w:val="0"/>
          <w:lang w:eastAsia="fr-FR"/>
          <w14:ligatures w14:val="none"/>
        </w:rPr>
      </w:pPr>
      <w:r w:rsidRPr="00AA45B4">
        <w:rPr>
          <w:rFonts w:ascii="Calibri" w:eastAsia="Times New Roman" w:hAnsi="Calibri" w:cs="Calibri"/>
          <w:kern w:val="0"/>
          <w:lang w:eastAsia="fr-FR"/>
          <w14:ligatures w14:val="none"/>
        </w:rPr>
        <w:t>La prochaine Revue de Direction est programmée dans un délai maximal de douze mois ou avant si une évolution majeure de l'organisation le nécessite.</w:t>
      </w:r>
    </w:p>
    <w:p w14:paraId="417D63E1" w14:textId="2F93D27C" w:rsidR="00134C68" w:rsidRPr="00421D0E" w:rsidRDefault="005637AF" w:rsidP="005637AF">
      <w:pPr>
        <w:spacing w:before="100" w:beforeAutospacing="1" w:after="100" w:afterAutospacing="1" w:line="240" w:lineRule="auto"/>
        <w:rPr>
          <w:rFonts w:ascii="Calibri" w:eastAsia="Times New Roman" w:hAnsi="Calibri" w:cs="Calibri"/>
          <w:kern w:val="0"/>
          <w:lang w:eastAsia="fr-FR"/>
          <w14:ligatures w14:val="none"/>
        </w:rPr>
      </w:pPr>
      <w:r w:rsidRPr="00421D0E">
        <w:rPr>
          <w:rFonts w:ascii="Calibri" w:eastAsia="Times New Roman" w:hAnsi="Calibri" w:cs="Calibri"/>
          <w:b/>
          <w:bCs/>
          <w:kern w:val="0"/>
          <w:lang w:eastAsia="fr-FR"/>
          <w14:ligatures w14:val="none"/>
        </w:rPr>
        <w:t>Validation</w:t>
      </w:r>
      <w:r w:rsidRPr="00421D0E">
        <w:rPr>
          <w:rFonts w:ascii="Calibri" w:eastAsia="Times New Roman" w:hAnsi="Calibri" w:cs="Calibri"/>
          <w:kern w:val="0"/>
          <w:lang w:eastAsia="fr-FR"/>
          <w14:ligatures w14:val="none"/>
        </w:rPr>
        <w:t xml:space="preserve"> </w:t>
      </w:r>
      <w:r w:rsidR="00134C68" w:rsidRPr="00421D0E">
        <w:rPr>
          <w:rFonts w:ascii="Calibri" w:eastAsia="Times New Roman" w:hAnsi="Calibri" w:cs="Calibri"/>
          <w:b/>
          <w:bCs/>
          <w:kern w:val="0"/>
          <w:lang w:eastAsia="fr-FR"/>
          <w14:ligatures w14:val="none"/>
        </w:rPr>
        <w:t>par la Direction</w:t>
      </w:r>
    </w:p>
    <w:p w14:paraId="026D9372" w14:textId="7141A007" w:rsidR="00134C68" w:rsidRPr="00421D0E" w:rsidRDefault="00A3033A" w:rsidP="00134C68">
      <w:pPr>
        <w:spacing w:before="100" w:beforeAutospacing="1" w:after="100" w:afterAutospacing="1" w:line="240" w:lineRule="auto"/>
        <w:rPr>
          <w:rFonts w:ascii="Calibri" w:eastAsia="Times New Roman" w:hAnsi="Calibri" w:cs="Calibri"/>
          <w:kern w:val="0"/>
          <w:lang w:eastAsia="fr-FR"/>
          <w14:ligatures w14:val="none"/>
        </w:rPr>
      </w:pPr>
      <w:r>
        <w:rPr>
          <w:rFonts w:ascii="Calibri" w:eastAsia="Times New Roman" w:hAnsi="Calibri" w:cs="Calibri"/>
          <w:noProof/>
          <w:kern w:val="0"/>
          <w:lang w:eastAsia="fr-FR"/>
        </w:rPr>
        <w:drawing>
          <wp:anchor distT="0" distB="0" distL="114300" distR="114300" simplePos="0" relativeHeight="251659264" behindDoc="1" locked="0" layoutInCell="1" allowOverlap="1" wp14:anchorId="50C4BBE7" wp14:editId="3D888ADB">
            <wp:simplePos x="0" y="0"/>
            <wp:positionH relativeFrom="column">
              <wp:posOffset>891222</wp:posOffset>
            </wp:positionH>
            <wp:positionV relativeFrom="paragraph">
              <wp:posOffset>153987</wp:posOffset>
            </wp:positionV>
            <wp:extent cx="2124075" cy="2124075"/>
            <wp:effectExtent l="0" t="0" r="0" b="0"/>
            <wp:wrapNone/>
            <wp:docPr id="100199905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99059" name="Image 1001999059"/>
                    <pic:cNvPicPr/>
                  </pic:nvPicPr>
                  <pic:blipFill>
                    <a:blip r:embed="rId6">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14:sizeRelH relativeFrom="margin">
              <wp14:pctWidth>0</wp14:pctWidth>
            </wp14:sizeRelH>
            <wp14:sizeRelV relativeFrom="margin">
              <wp14:pctHeight>0</wp14:pctHeight>
            </wp14:sizeRelV>
          </wp:anchor>
        </w:drawing>
      </w:r>
      <w:r w:rsidR="00134C68" w:rsidRPr="00421D0E">
        <w:rPr>
          <w:rFonts w:ascii="Calibri" w:eastAsia="Times New Roman" w:hAnsi="Calibri" w:cs="Calibri"/>
          <w:kern w:val="0"/>
          <w:lang w:eastAsia="fr-FR"/>
          <w14:ligatures w14:val="none"/>
        </w:rPr>
        <w:t>Nom : JANNEL Adrien</w:t>
      </w:r>
    </w:p>
    <w:p w14:paraId="40BE34AF" w14:textId="78A621E1" w:rsidR="00134C68" w:rsidRPr="00421D0E" w:rsidRDefault="00134C68" w:rsidP="00134C68">
      <w:pPr>
        <w:spacing w:before="100" w:beforeAutospacing="1" w:after="100" w:afterAutospacing="1" w:line="240" w:lineRule="auto"/>
        <w:rPr>
          <w:rFonts w:ascii="Calibri" w:eastAsia="Times New Roman" w:hAnsi="Calibri" w:cs="Calibri"/>
          <w:kern w:val="0"/>
          <w:lang w:eastAsia="fr-FR"/>
          <w14:ligatures w14:val="none"/>
        </w:rPr>
      </w:pPr>
      <w:r w:rsidRPr="00421D0E">
        <w:rPr>
          <w:rFonts w:ascii="Calibri" w:eastAsia="Times New Roman" w:hAnsi="Calibri" w:cs="Calibri"/>
          <w:kern w:val="0"/>
          <w:lang w:eastAsia="fr-FR"/>
          <w14:ligatures w14:val="none"/>
        </w:rPr>
        <w:t>Fonction : Gérant</w:t>
      </w:r>
    </w:p>
    <w:p w14:paraId="5BF80739" w14:textId="57BC637D" w:rsidR="00134C68" w:rsidRDefault="00A3033A" w:rsidP="00134C68">
      <w:pPr>
        <w:spacing w:before="100" w:beforeAutospacing="1" w:after="100" w:afterAutospacing="1" w:line="240" w:lineRule="auto"/>
        <w:rPr>
          <w:rFonts w:ascii="Calibri" w:eastAsia="Times New Roman" w:hAnsi="Calibri" w:cs="Calibri"/>
          <w:kern w:val="0"/>
          <w:lang w:eastAsia="fr-FR"/>
          <w14:ligatures w14:val="none"/>
        </w:rPr>
      </w:pPr>
      <w:r>
        <w:rPr>
          <w:rFonts w:ascii="Calibri" w:eastAsia="Times New Roman" w:hAnsi="Calibri" w:cs="Calibri"/>
          <w:noProof/>
          <w:kern w:val="0"/>
          <w:lang w:eastAsia="fr-FR"/>
        </w:rPr>
        <w:drawing>
          <wp:anchor distT="0" distB="0" distL="114300" distR="114300" simplePos="0" relativeHeight="251658240" behindDoc="1" locked="0" layoutInCell="1" allowOverlap="1" wp14:anchorId="145044AE" wp14:editId="7DA522C7">
            <wp:simplePos x="0" y="0"/>
            <wp:positionH relativeFrom="column">
              <wp:posOffset>438469</wp:posOffset>
            </wp:positionH>
            <wp:positionV relativeFrom="paragraph">
              <wp:posOffset>74931</wp:posOffset>
            </wp:positionV>
            <wp:extent cx="1643062" cy="1643062"/>
            <wp:effectExtent l="0" t="0" r="0" b="0"/>
            <wp:wrapNone/>
            <wp:docPr id="10738113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11363" name="Image 10738113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4312" cy="1644312"/>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kern w:val="0"/>
          <w:lang w:eastAsia="fr-FR"/>
          <w14:ligatures w14:val="none"/>
        </w:rPr>
        <w:t>Le 30/06/2026</w:t>
      </w:r>
    </w:p>
    <w:p w14:paraId="0BCE75F1" w14:textId="67F6B96C" w:rsidR="00A3033A" w:rsidRPr="00421D0E" w:rsidRDefault="00A3033A" w:rsidP="00134C68">
      <w:pPr>
        <w:spacing w:before="100" w:beforeAutospacing="1" w:after="100" w:afterAutospacing="1" w:line="240" w:lineRule="auto"/>
        <w:rPr>
          <w:rFonts w:ascii="Calibri" w:eastAsia="Times New Roman" w:hAnsi="Calibri" w:cs="Calibri"/>
          <w:kern w:val="0"/>
          <w:lang w:eastAsia="fr-FR"/>
          <w14:ligatures w14:val="none"/>
        </w:rPr>
      </w:pPr>
    </w:p>
    <w:p w14:paraId="553A0AE5" w14:textId="2B8E37AA" w:rsidR="00134C68" w:rsidRPr="00421D0E" w:rsidRDefault="00134C68" w:rsidP="00134C68">
      <w:pPr>
        <w:spacing w:before="100" w:beforeAutospacing="1" w:after="100" w:afterAutospacing="1" w:line="240" w:lineRule="auto"/>
        <w:rPr>
          <w:rFonts w:ascii="Calibri" w:eastAsia="Times New Roman" w:hAnsi="Calibri" w:cs="Calibri"/>
          <w:kern w:val="0"/>
          <w:lang w:eastAsia="fr-FR"/>
          <w14:ligatures w14:val="none"/>
        </w:rPr>
      </w:pPr>
    </w:p>
    <w:p w14:paraId="37EB8230" w14:textId="77777777" w:rsidR="002D5479" w:rsidRDefault="002D5479" w:rsidP="000C45E6">
      <w:pPr>
        <w:spacing w:before="100" w:beforeAutospacing="1" w:after="100" w:afterAutospacing="1" w:line="240" w:lineRule="auto"/>
        <w:outlineLvl w:val="0"/>
        <w:rPr>
          <w:rFonts w:ascii="Calibri" w:eastAsia="Times New Roman" w:hAnsi="Calibri" w:cs="Calibri"/>
          <w:b/>
          <w:bCs/>
          <w:kern w:val="36"/>
          <w:lang w:eastAsia="fr-FR"/>
          <w14:ligatures w14:val="none"/>
        </w:rPr>
      </w:pPr>
    </w:p>
    <w:sectPr w:rsidR="002D54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36D3"/>
    <w:multiLevelType w:val="hybridMultilevel"/>
    <w:tmpl w:val="99C8F4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4E04448"/>
    <w:multiLevelType w:val="multilevel"/>
    <w:tmpl w:val="A804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6786023">
    <w:abstractNumId w:val="0"/>
  </w:num>
  <w:num w:numId="2" w16cid:durableId="1444886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E6"/>
    <w:rsid w:val="00000B65"/>
    <w:rsid w:val="000C45E6"/>
    <w:rsid w:val="00134C68"/>
    <w:rsid w:val="00243794"/>
    <w:rsid w:val="002C47C5"/>
    <w:rsid w:val="002D007F"/>
    <w:rsid w:val="002D5479"/>
    <w:rsid w:val="00331104"/>
    <w:rsid w:val="00415A71"/>
    <w:rsid w:val="00421D0E"/>
    <w:rsid w:val="00446FA9"/>
    <w:rsid w:val="00513F66"/>
    <w:rsid w:val="005605FD"/>
    <w:rsid w:val="005637AF"/>
    <w:rsid w:val="006753EA"/>
    <w:rsid w:val="00770687"/>
    <w:rsid w:val="009A1D0D"/>
    <w:rsid w:val="009F3889"/>
    <w:rsid w:val="00A3033A"/>
    <w:rsid w:val="00A67BDD"/>
    <w:rsid w:val="00AA45B4"/>
    <w:rsid w:val="00B63302"/>
    <w:rsid w:val="00BB110A"/>
    <w:rsid w:val="00E345F7"/>
    <w:rsid w:val="00E951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1831"/>
  <w15:chartTrackingRefBased/>
  <w15:docId w15:val="{4C47D02C-2C45-DB4D-A827-84756135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C4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C4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C45E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C45E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C45E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C45E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45E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45E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45E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45E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0C45E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0C45E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C45E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C45E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C45E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45E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45E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45E6"/>
    <w:rPr>
      <w:rFonts w:eastAsiaTheme="majorEastAsia" w:cstheme="majorBidi"/>
      <w:color w:val="272727" w:themeColor="text1" w:themeTint="D8"/>
    </w:rPr>
  </w:style>
  <w:style w:type="paragraph" w:styleId="Titre">
    <w:name w:val="Title"/>
    <w:basedOn w:val="Normal"/>
    <w:next w:val="Normal"/>
    <w:link w:val="TitreCar"/>
    <w:uiPriority w:val="10"/>
    <w:qFormat/>
    <w:rsid w:val="000C4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45E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45E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45E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45E6"/>
    <w:pPr>
      <w:spacing w:before="160"/>
      <w:jc w:val="center"/>
    </w:pPr>
    <w:rPr>
      <w:i/>
      <w:iCs/>
      <w:color w:val="404040" w:themeColor="text1" w:themeTint="BF"/>
    </w:rPr>
  </w:style>
  <w:style w:type="character" w:customStyle="1" w:styleId="CitationCar">
    <w:name w:val="Citation Car"/>
    <w:basedOn w:val="Policepardfaut"/>
    <w:link w:val="Citation"/>
    <w:uiPriority w:val="29"/>
    <w:rsid w:val="000C45E6"/>
    <w:rPr>
      <w:i/>
      <w:iCs/>
      <w:color w:val="404040" w:themeColor="text1" w:themeTint="BF"/>
    </w:rPr>
  </w:style>
  <w:style w:type="paragraph" w:styleId="Paragraphedeliste">
    <w:name w:val="List Paragraph"/>
    <w:basedOn w:val="Normal"/>
    <w:uiPriority w:val="34"/>
    <w:qFormat/>
    <w:rsid w:val="000C45E6"/>
    <w:pPr>
      <w:ind w:left="720"/>
      <w:contextualSpacing/>
    </w:pPr>
  </w:style>
  <w:style w:type="character" w:styleId="Accentuationintense">
    <w:name w:val="Intense Emphasis"/>
    <w:basedOn w:val="Policepardfaut"/>
    <w:uiPriority w:val="21"/>
    <w:qFormat/>
    <w:rsid w:val="000C45E6"/>
    <w:rPr>
      <w:i/>
      <w:iCs/>
      <w:color w:val="0F4761" w:themeColor="accent1" w:themeShade="BF"/>
    </w:rPr>
  </w:style>
  <w:style w:type="paragraph" w:styleId="Citationintense">
    <w:name w:val="Intense Quote"/>
    <w:basedOn w:val="Normal"/>
    <w:next w:val="Normal"/>
    <w:link w:val="CitationintenseCar"/>
    <w:uiPriority w:val="30"/>
    <w:qFormat/>
    <w:rsid w:val="000C4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C45E6"/>
    <w:rPr>
      <w:i/>
      <w:iCs/>
      <w:color w:val="0F4761" w:themeColor="accent1" w:themeShade="BF"/>
    </w:rPr>
  </w:style>
  <w:style w:type="character" w:styleId="Rfrenceintense">
    <w:name w:val="Intense Reference"/>
    <w:basedOn w:val="Policepardfaut"/>
    <w:uiPriority w:val="32"/>
    <w:qFormat/>
    <w:rsid w:val="000C45E6"/>
    <w:rPr>
      <w:b/>
      <w:bCs/>
      <w:smallCaps/>
      <w:color w:val="0F4761" w:themeColor="accent1" w:themeShade="BF"/>
      <w:spacing w:val="5"/>
    </w:rPr>
  </w:style>
  <w:style w:type="paragraph" w:styleId="NormalWeb">
    <w:name w:val="Normal (Web)"/>
    <w:basedOn w:val="Normal"/>
    <w:uiPriority w:val="99"/>
    <w:semiHidden/>
    <w:unhideWhenUsed/>
    <w:rsid w:val="000C45E6"/>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0C45E6"/>
    <w:rPr>
      <w:b/>
      <w:bCs/>
    </w:rPr>
  </w:style>
  <w:style w:type="character" w:styleId="Accentuation">
    <w:name w:val="Emphasis"/>
    <w:basedOn w:val="Policepardfaut"/>
    <w:uiPriority w:val="20"/>
    <w:qFormat/>
    <w:rsid w:val="002D54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1046</Words>
  <Characters>5758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Thibault Jacques</dc:creator>
  <cp:keywords/>
  <dc:description/>
  <cp:lastModifiedBy>Anaïs ROBEZ</cp:lastModifiedBy>
  <cp:revision>4</cp:revision>
  <dcterms:created xsi:type="dcterms:W3CDTF">2026-07-06T10:23:00Z</dcterms:created>
  <dcterms:modified xsi:type="dcterms:W3CDTF">2026-07-08T11:33:00Z</dcterms:modified>
</cp:coreProperties>
</file>